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lang w:val="en-US" w:eastAsia="zh-CN"/>
        </w:rPr>
        <w:t>沈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lang w:val="en-US" w:eastAsia="zh-CN"/>
        </w:rPr>
        <w:t>辉、梁宗锁两位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lang w:val="en-US" w:eastAsia="zh-CN"/>
        </w:rPr>
        <w:t>同志基本情况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lang w:val="en-US" w:eastAsia="zh-CN"/>
        </w:rPr>
        <w:t>及主要业绩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textAlignment w:val="auto"/>
        <w:rPr>
          <w:rFonts w:ascii="Times New Roman" w:hAnsi="Times New Roman" w:cs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ind w:firstLine="643" w:firstLineChars="200"/>
        <w:jc w:val="both"/>
        <w:textAlignment w:val="auto"/>
        <w:rPr>
          <w:rFonts w:hint="eastAsia" w:ascii="Times New Roman" w:hAnsi="Times New Roman" w:eastAsia="宋体" w:cs="Times New Roman"/>
          <w:b/>
          <w:sz w:val="32"/>
          <w:szCs w:val="32"/>
          <w:lang w:eastAsia="zh-CN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  <w:lang w:eastAsia="zh-CN"/>
        </w:rPr>
        <w:t>一、沈辉同志基本情况及主要业绩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ind w:firstLine="480" w:firstLineChars="200"/>
        <w:textAlignment w:val="auto"/>
        <w:rPr>
          <w:rFonts w:ascii="Times New Roman" w:hAnsi="Times New Roman" w:cs="Times New Roman" w:eastAsiaTheme="majorEastAsia"/>
          <w:sz w:val="24"/>
          <w:szCs w:val="24"/>
        </w:rPr>
      </w:pPr>
      <w:r>
        <w:rPr>
          <w:rFonts w:ascii="Times New Roman" w:hAnsi="Times New Roman" w:cs="Times New Roman" w:eastAsiaTheme="majorEastAsia"/>
          <w:sz w:val="24"/>
          <w:szCs w:val="24"/>
        </w:rPr>
        <w:t>沈辉，男，汉族，1956年7月出生，德国留学博士，教授、博导，现任中山大学太阳能系统研究所所长、顺德中山大学太阳能研究院院长。同时，沈</w:t>
      </w:r>
      <w:bookmarkStart w:id="0" w:name="_GoBack"/>
      <w:bookmarkEnd w:id="0"/>
      <w:r>
        <w:rPr>
          <w:rFonts w:ascii="Times New Roman" w:hAnsi="Times New Roman" w:cs="Times New Roman" w:eastAsiaTheme="majorEastAsia"/>
          <w:sz w:val="24"/>
          <w:szCs w:val="24"/>
        </w:rPr>
        <w:t>教授是光伏科学与技术国家重点实验室学术委员会主任、国家光伏装备工程技术研究中心技术委员会主任、中国可再生能源学会光伏专业委员会副主任、中国光伏行业协会专家咨询委员会委员、中国绿色供应链联盟光伏专业委员会主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ind w:firstLine="482" w:firstLineChars="200"/>
        <w:textAlignment w:val="auto"/>
        <w:rPr>
          <w:rFonts w:ascii="Times New Roman" w:hAnsi="Times New Roman" w:cs="Times New Roman" w:eastAsiaTheme="majorEastAsia"/>
          <w:b/>
          <w:bCs/>
          <w:sz w:val="24"/>
          <w:szCs w:val="24"/>
        </w:rPr>
      </w:pPr>
      <w:r>
        <w:rPr>
          <w:rFonts w:hint="eastAsia" w:ascii="Times New Roman" w:hAnsi="Times New Roman" w:cs="Times New Roman" w:eastAsiaTheme="majorEastAsia"/>
          <w:b/>
          <w:bCs/>
          <w:sz w:val="24"/>
          <w:szCs w:val="24"/>
          <w:lang w:eastAsia="zh-CN"/>
        </w:rPr>
        <w:t>（一）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</w:rPr>
        <w:t>所获荣誉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ind w:firstLine="480" w:firstLineChars="200"/>
        <w:textAlignment w:val="auto"/>
        <w:rPr>
          <w:rFonts w:ascii="Times New Roman" w:hAnsi="Times New Roman" w:cs="Times New Roman" w:eastAsiaTheme="majorEastAsia"/>
          <w:sz w:val="24"/>
          <w:szCs w:val="24"/>
        </w:rPr>
      </w:pPr>
      <w:r>
        <w:rPr>
          <w:rFonts w:ascii="Times New Roman" w:hAnsi="Times New Roman" w:cs="Times New Roman" w:eastAsiaTheme="majorEastAsia"/>
          <w:sz w:val="24"/>
          <w:szCs w:val="24"/>
        </w:rPr>
        <w:t>1、“我国多类型自然条件下光伏关键技术研发、实证与应用”项目于2019年获中国电力科学技术进步奖二等奖</w:t>
      </w:r>
      <w:r>
        <w:rPr>
          <w:rFonts w:hint="eastAsia" w:ascii="Times New Roman" w:hAnsi="Times New Roman" w:cs="Times New Roman" w:eastAsiaTheme="majorEastAsia"/>
          <w:sz w:val="24"/>
          <w:szCs w:val="24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ind w:firstLine="480" w:firstLineChars="200"/>
        <w:textAlignment w:val="auto"/>
        <w:rPr>
          <w:rFonts w:ascii="Times New Roman" w:hAnsi="Times New Roman" w:cs="Times New Roman" w:eastAsiaTheme="majorEastAsia"/>
          <w:sz w:val="24"/>
          <w:szCs w:val="24"/>
        </w:rPr>
      </w:pPr>
      <w:r>
        <w:rPr>
          <w:rFonts w:ascii="Times New Roman" w:hAnsi="Times New Roman" w:cs="Times New Roman" w:eastAsiaTheme="majorEastAsia"/>
          <w:sz w:val="24"/>
          <w:szCs w:val="24"/>
        </w:rPr>
        <w:t>2、“光伏电池组件环境可靠耐久性技术研发与产业应用”项目于2018年获中国机械工业科学技术奖二等奖</w:t>
      </w:r>
      <w:r>
        <w:rPr>
          <w:rFonts w:hint="eastAsia" w:ascii="Times New Roman" w:hAnsi="Times New Roman" w:cs="Times New Roman" w:eastAsiaTheme="majorEastAsia"/>
          <w:sz w:val="24"/>
          <w:szCs w:val="24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ind w:firstLine="480" w:firstLineChars="200"/>
        <w:textAlignment w:val="auto"/>
        <w:rPr>
          <w:rFonts w:ascii="Times New Roman" w:hAnsi="Times New Roman" w:cs="Times New Roman" w:eastAsiaTheme="majorEastAsia"/>
          <w:sz w:val="24"/>
          <w:szCs w:val="24"/>
        </w:rPr>
      </w:pPr>
      <w:r>
        <w:rPr>
          <w:rFonts w:ascii="Times New Roman" w:hAnsi="Times New Roman" w:cs="Times New Roman" w:eastAsiaTheme="majorEastAsia"/>
          <w:sz w:val="24"/>
          <w:szCs w:val="24"/>
        </w:rPr>
        <w:t>3、“高性价比晶体硅太阳电池关键技术研究”项目于2014年获广东省科学技术奖三等奖；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ind w:firstLine="480" w:firstLineChars="200"/>
        <w:textAlignment w:val="auto"/>
        <w:rPr>
          <w:rFonts w:ascii="Times New Roman" w:hAnsi="Times New Roman" w:cs="Times New Roman" w:eastAsiaTheme="majorEastAsia"/>
          <w:sz w:val="24"/>
          <w:szCs w:val="24"/>
        </w:rPr>
      </w:pPr>
      <w:r>
        <w:rPr>
          <w:rFonts w:ascii="Times New Roman" w:hAnsi="Times New Roman" w:cs="Times New Roman" w:eastAsiaTheme="majorEastAsia"/>
          <w:sz w:val="24"/>
          <w:szCs w:val="24"/>
        </w:rPr>
        <w:t>4、“中国光伏发电平价上网路线图”项目于2012年获国家能源局软科学研究优秀成果奖三等奖；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ind w:firstLine="480" w:firstLineChars="200"/>
        <w:textAlignment w:val="auto"/>
        <w:rPr>
          <w:rFonts w:ascii="Times New Roman" w:hAnsi="Times New Roman" w:cs="Times New Roman" w:eastAsiaTheme="majorEastAsia"/>
          <w:sz w:val="24"/>
          <w:szCs w:val="24"/>
        </w:rPr>
      </w:pPr>
      <w:r>
        <w:rPr>
          <w:rFonts w:ascii="Times New Roman" w:hAnsi="Times New Roman" w:cs="Times New Roman" w:eastAsiaTheme="majorEastAsia"/>
          <w:sz w:val="24"/>
          <w:szCs w:val="24"/>
        </w:rPr>
        <w:t>5、“采用PVB封装的新型光伏建筑一体化组件及系统的研制、产业化与应用”项目于2010年获广东省科学技术奖二等奖。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ind w:firstLine="482" w:firstLineChars="200"/>
        <w:textAlignment w:val="auto"/>
        <w:rPr>
          <w:rFonts w:ascii="Times New Roman" w:hAnsi="Times New Roman" w:cs="Times New Roman" w:eastAsiaTheme="majorEastAsia"/>
          <w:b/>
          <w:bCs/>
          <w:sz w:val="24"/>
          <w:szCs w:val="24"/>
        </w:rPr>
      </w:pPr>
      <w:r>
        <w:rPr>
          <w:rFonts w:hint="eastAsia" w:ascii="Times New Roman" w:hAnsi="Times New Roman" w:cs="Times New Roman" w:eastAsiaTheme="majorEastAsia"/>
          <w:b/>
          <w:bCs/>
          <w:sz w:val="24"/>
          <w:szCs w:val="24"/>
          <w:lang w:eastAsia="zh-CN"/>
        </w:rPr>
        <w:t>（二）</w:t>
      </w:r>
      <w:r>
        <w:rPr>
          <w:rFonts w:hint="eastAsia" w:ascii="Times New Roman" w:hAnsi="Times New Roman" w:cs="Times New Roman" w:eastAsiaTheme="majorEastAsia"/>
          <w:b/>
          <w:bCs/>
          <w:sz w:val="24"/>
          <w:szCs w:val="24"/>
        </w:rPr>
        <w:t>近五年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</w:rPr>
        <w:t>主要业绩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ind w:firstLine="482" w:firstLineChars="200"/>
        <w:textAlignment w:val="auto"/>
        <w:rPr>
          <w:rFonts w:ascii="Times New Roman" w:hAnsi="Times New Roman" w:cs="Times New Roman" w:eastAsiaTheme="majorEastAsia"/>
          <w:kern w:val="0"/>
          <w:sz w:val="24"/>
          <w:szCs w:val="24"/>
        </w:rPr>
      </w:pPr>
      <w:r>
        <w:rPr>
          <w:rFonts w:ascii="Times New Roman" w:hAnsi="Times New Roman" w:cs="Times New Roman" w:eastAsiaTheme="majorEastAsia"/>
          <w:b/>
          <w:sz w:val="24"/>
          <w:szCs w:val="24"/>
        </w:rPr>
        <w:t>1、</w:t>
      </w:r>
      <w:r>
        <w:rPr>
          <w:rFonts w:ascii="Times New Roman" w:hAnsi="Times New Roman" w:cs="Times New Roman" w:eastAsiaTheme="majorEastAsia"/>
          <w:b/>
          <w:kern w:val="0"/>
          <w:sz w:val="24"/>
          <w:szCs w:val="24"/>
        </w:rPr>
        <w:t>论著</w:t>
      </w:r>
      <w:r>
        <w:rPr>
          <w:rFonts w:ascii="Times New Roman" w:hAnsi="Times New Roman" w:cs="Times New Roman" w:eastAsiaTheme="majorEastAsia"/>
          <w:kern w:val="0"/>
          <w:sz w:val="24"/>
          <w:szCs w:val="24"/>
        </w:rPr>
        <w:t>：著作有科学出版社《我心中的太阳》（2020）、化学工业出版社《晶体硅太阳电池》（2020）、化学工业出版社《晶体硅光伏组件》（2019）、化学工业出版社《多晶硅与硅片生产技术》（2014）、科学出版社《太阳能光伏建筑设计》（2013）、化学工业出版社《纳米材料与太阳能利用》（2012）、化学工业出版社《太阳电池》（2010）、化学工业出版社《太阳能光伏发电技术》（2005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ind w:firstLine="482" w:firstLineChars="200"/>
        <w:textAlignment w:val="auto"/>
        <w:rPr>
          <w:rFonts w:ascii="Times New Roman" w:hAnsi="Times New Roman" w:cs="Times New Roman" w:eastAsiaTheme="majorEastAsia"/>
          <w:b/>
          <w:kern w:val="0"/>
          <w:sz w:val="24"/>
          <w:szCs w:val="24"/>
        </w:rPr>
      </w:pPr>
      <w:r>
        <w:rPr>
          <w:rFonts w:ascii="Times New Roman" w:hAnsi="Times New Roman" w:cs="Times New Roman" w:eastAsiaTheme="majorEastAsia"/>
          <w:b/>
          <w:kern w:val="0"/>
          <w:sz w:val="24"/>
          <w:szCs w:val="24"/>
        </w:rPr>
        <w:t>2、</w:t>
      </w:r>
      <w:r>
        <w:rPr>
          <w:rFonts w:hint="eastAsia" w:ascii="Times New Roman" w:hAnsi="Times New Roman" w:cs="Times New Roman" w:eastAsiaTheme="majorEastAsia"/>
          <w:b/>
          <w:kern w:val="0"/>
          <w:sz w:val="24"/>
          <w:szCs w:val="24"/>
        </w:rPr>
        <w:t>论文和专利：</w:t>
      </w:r>
      <w:r>
        <w:rPr>
          <w:rFonts w:ascii="Times New Roman" w:hAnsi="Times New Roman" w:cs="Times New Roman" w:eastAsiaTheme="majorEastAsia"/>
          <w:bCs/>
          <w:kern w:val="0"/>
          <w:sz w:val="24"/>
          <w:szCs w:val="24"/>
        </w:rPr>
        <w:t>在国内外核心期刊、学术会议发表文章100多篇，获得授权专利60多件。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textAlignment w:val="auto"/>
        <w:rPr>
          <w:rFonts w:ascii="Times New Roman" w:hAnsi="Times New Roman" w:cs="Times New Roman" w:eastAsiaTheme="majorEastAsia"/>
          <w:color w:val="000000"/>
          <w:sz w:val="24"/>
          <w:szCs w:val="24"/>
        </w:rPr>
      </w:pPr>
      <w:r>
        <w:rPr>
          <w:rFonts w:ascii="Times New Roman" w:hAnsi="Times New Roman" w:cs="Times New Roman" w:eastAsiaTheme="majorEastAsia"/>
          <w:sz w:val="24"/>
          <w:szCs w:val="24"/>
        </w:rPr>
        <w:t xml:space="preserve">     1）</w:t>
      </w:r>
      <w:r>
        <w:rPr>
          <w:rFonts w:ascii="Times New Roman" w:hAnsi="Times New Roman" w:cs="Times New Roman" w:eastAsiaTheme="majorEastAsia"/>
          <w:color w:val="000000"/>
          <w:sz w:val="24"/>
          <w:szCs w:val="24"/>
        </w:rPr>
        <w:t>Analysis of the degradation of encapsulant materials used in photovoltaic modules exposed to different climates in China</w:t>
      </w:r>
      <w:r>
        <w:rPr>
          <w:rFonts w:ascii="Times New Roman" w:hAnsi="Times New Roman" w:cs="Times New Roman" w:eastAsiaTheme="majorEastAsia"/>
          <w:sz w:val="24"/>
          <w:szCs w:val="24"/>
        </w:rPr>
        <w:t>，</w:t>
      </w:r>
      <w:r>
        <w:rPr>
          <w:rFonts w:ascii="Times New Roman" w:hAnsi="Times New Roman" w:cs="Times New Roman" w:eastAsiaTheme="majorEastAsia"/>
          <w:color w:val="000000"/>
          <w:sz w:val="24"/>
          <w:szCs w:val="24"/>
        </w:rPr>
        <w:t>Solar Energy，194，177-188，2019，SCI；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textAlignment w:val="auto"/>
        <w:rPr>
          <w:rFonts w:ascii="Times New Roman" w:hAnsi="Times New Roman" w:cs="Times New Roman" w:eastAsiaTheme="majorEastAsia"/>
          <w:sz w:val="24"/>
          <w:szCs w:val="24"/>
        </w:rPr>
      </w:pPr>
      <w:r>
        <w:rPr>
          <w:rFonts w:ascii="Times New Roman" w:hAnsi="Times New Roman" w:cs="Times New Roman" w:eastAsiaTheme="majorEastAsia"/>
          <w:sz w:val="24"/>
          <w:szCs w:val="24"/>
        </w:rPr>
        <w:t xml:space="preserve">     2）Chromium Trioxide Hole-Selective Heterocontacts for Silicon Solar Cells，Applied Materials &amp; Interfaces, 10(16):13645-13651，2018，SCI；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textAlignment w:val="auto"/>
        <w:rPr>
          <w:rFonts w:ascii="Times New Roman" w:hAnsi="Times New Roman" w:cs="Times New Roman" w:eastAsiaTheme="majorEastAsia"/>
          <w:sz w:val="24"/>
          <w:szCs w:val="24"/>
        </w:rPr>
      </w:pPr>
      <w:r>
        <w:rPr>
          <w:rFonts w:ascii="Times New Roman" w:hAnsi="Times New Roman" w:cs="Times New Roman" w:eastAsiaTheme="majorEastAsia"/>
          <w:sz w:val="24"/>
          <w:szCs w:val="24"/>
        </w:rPr>
        <w:t xml:space="preserve">     3）Conductive Cuprous Iodide Hole-Selective Contacts with Thermal and Ambient Stability for Silicon Solar Cells，Applied Materials &amp; Interfaces, 10, 43699-43706，2018，SCI；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textAlignment w:val="auto"/>
        <w:rPr>
          <w:rFonts w:ascii="Times New Roman" w:hAnsi="Times New Roman" w:cs="Times New Roman" w:eastAsiaTheme="majorEastAsia"/>
          <w:sz w:val="24"/>
          <w:szCs w:val="24"/>
        </w:rPr>
      </w:pPr>
      <w:r>
        <w:rPr>
          <w:rFonts w:ascii="Times New Roman" w:hAnsi="Times New Roman" w:cs="Times New Roman" w:eastAsiaTheme="majorEastAsia"/>
          <w:sz w:val="24"/>
          <w:szCs w:val="24"/>
        </w:rPr>
        <w:t xml:space="preserve">     4）Efficiency enhancement of bifacial PERC solar cells with laser-doped selective emitter and double-screen-printed Al grid，Process in Photovoltaics,1-9，2018，SCI；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textAlignment w:val="auto"/>
        <w:rPr>
          <w:rFonts w:ascii="Times New Roman" w:hAnsi="Times New Roman" w:cs="Times New Roman" w:eastAsiaTheme="majorEastAsia"/>
          <w:kern w:val="0"/>
          <w:sz w:val="24"/>
          <w:szCs w:val="24"/>
        </w:rPr>
      </w:pPr>
      <w:r>
        <w:rPr>
          <w:rFonts w:ascii="Times New Roman" w:hAnsi="Times New Roman" w:cs="Times New Roman" w:eastAsiaTheme="majorEastAsia"/>
          <w:sz w:val="24"/>
          <w:szCs w:val="24"/>
        </w:rPr>
        <w:t xml:space="preserve">     5）12.29% Low Temperature-Processed Dopant-Free CdS/p-Si Heterojunction Solar Cells，Advanced Materials Interfaces, 1900367，2019，SCI。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ind w:firstLine="482" w:firstLineChars="200"/>
        <w:textAlignment w:val="auto"/>
        <w:rPr>
          <w:rFonts w:hint="eastAsia" w:ascii="Times New Roman" w:hAnsi="Times New Roman" w:cs="Times New Roman" w:eastAsiaTheme="majorEastAsia"/>
          <w:b/>
          <w:sz w:val="24"/>
          <w:szCs w:val="24"/>
        </w:rPr>
      </w:pPr>
      <w:r>
        <w:rPr>
          <w:rFonts w:ascii="Times New Roman" w:hAnsi="Times New Roman" w:cs="Times New Roman" w:eastAsiaTheme="majorEastAsia"/>
          <w:b/>
          <w:sz w:val="24"/>
          <w:szCs w:val="24"/>
        </w:rPr>
        <w:t>3、</w:t>
      </w:r>
      <w:r>
        <w:rPr>
          <w:rFonts w:hint="eastAsia" w:ascii="Times New Roman" w:hAnsi="Times New Roman" w:cs="Times New Roman" w:eastAsiaTheme="majorEastAsia"/>
          <w:b/>
          <w:sz w:val="24"/>
          <w:szCs w:val="24"/>
        </w:rPr>
        <w:t>承担</w:t>
      </w:r>
      <w:r>
        <w:rPr>
          <w:rFonts w:ascii="Times New Roman" w:hAnsi="Times New Roman" w:cs="Times New Roman" w:eastAsiaTheme="majorEastAsia"/>
          <w:b/>
          <w:sz w:val="24"/>
          <w:szCs w:val="24"/>
        </w:rPr>
        <w:t>课题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textAlignment w:val="auto"/>
        <w:rPr>
          <w:rFonts w:ascii="Times New Roman" w:hAnsi="Times New Roman" w:cs="Times New Roman" w:eastAsiaTheme="majorEastAsia"/>
          <w:sz w:val="24"/>
          <w:szCs w:val="24"/>
        </w:rPr>
      </w:pPr>
      <w:r>
        <w:rPr>
          <w:rFonts w:ascii="Times New Roman" w:hAnsi="Times New Roman" w:cs="Times New Roman" w:eastAsiaTheme="majorEastAsia"/>
          <w:sz w:val="24"/>
          <w:szCs w:val="24"/>
        </w:rPr>
        <w:t xml:space="preserve">     1）国家863计划课题：光伏组件加速老化测试技术研究与测试设备研制项目，2015.03-2018.03，主持；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textAlignment w:val="auto"/>
        <w:rPr>
          <w:rFonts w:ascii="Times New Roman" w:hAnsi="Times New Roman" w:cs="Times New Roman" w:eastAsiaTheme="majorEastAsia"/>
          <w:sz w:val="24"/>
          <w:szCs w:val="24"/>
        </w:rPr>
      </w:pPr>
      <w:r>
        <w:rPr>
          <w:rFonts w:ascii="Times New Roman" w:hAnsi="Times New Roman" w:cs="Times New Roman" w:eastAsiaTheme="majorEastAsia"/>
          <w:sz w:val="24"/>
          <w:szCs w:val="24"/>
        </w:rPr>
        <w:t xml:space="preserve">     2）国家863课题：户用光伏发电智能控制模块集成技术研发及示范项目，2015.03-2018.03，主持；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textAlignment w:val="auto"/>
        <w:rPr>
          <w:rFonts w:ascii="Times New Roman" w:hAnsi="Times New Roman" w:cs="Times New Roman" w:eastAsiaTheme="majorEastAsia"/>
          <w:sz w:val="24"/>
          <w:szCs w:val="24"/>
        </w:rPr>
      </w:pPr>
      <w:r>
        <w:rPr>
          <w:rFonts w:ascii="Times New Roman" w:hAnsi="Times New Roman" w:cs="Times New Roman" w:eastAsiaTheme="majorEastAsia"/>
          <w:sz w:val="24"/>
          <w:szCs w:val="24"/>
        </w:rPr>
        <w:t xml:space="preserve">     3）广东省科技项目：高效新材料-晶硅异质结太阳电池的制备与性能优化，2015.03-2017.03，主持；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textAlignment w:val="auto"/>
        <w:rPr>
          <w:rFonts w:ascii="Times New Roman" w:hAnsi="Times New Roman" w:cs="Times New Roman" w:eastAsiaTheme="majorEastAsia"/>
          <w:sz w:val="24"/>
          <w:szCs w:val="24"/>
        </w:rPr>
      </w:pPr>
      <w:r>
        <w:rPr>
          <w:rFonts w:ascii="Times New Roman" w:hAnsi="Times New Roman" w:cs="Times New Roman" w:eastAsiaTheme="majorEastAsia"/>
          <w:sz w:val="24"/>
          <w:szCs w:val="24"/>
        </w:rPr>
        <w:t xml:space="preserve">     4）国家重点研发计划：晶硅光伏组件回收处理成套技术和装备，2019.04-2022.03，参与；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ind w:firstLine="360" w:firstLineChars="150"/>
        <w:textAlignment w:val="auto"/>
        <w:rPr>
          <w:rFonts w:ascii="Times New Roman" w:hAnsi="Times New Roman" w:cs="Times New Roman" w:eastAsiaTheme="majorEastAsia"/>
          <w:sz w:val="24"/>
          <w:szCs w:val="24"/>
        </w:rPr>
      </w:pPr>
      <w:r>
        <w:rPr>
          <w:rFonts w:ascii="Times New Roman" w:hAnsi="Times New Roman" w:cs="Times New Roman" w:eastAsiaTheme="majorEastAsia"/>
          <w:sz w:val="24"/>
          <w:szCs w:val="24"/>
        </w:rPr>
        <w:t xml:space="preserve">  5）江苏省科技成果转化专项资金项目：量产效率23.5%以上的N型隧穿钝化接触晶体硅太阳电池研发及产业化，2019.04-2022.09，主持。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ind w:firstLine="360" w:firstLineChars="150"/>
        <w:textAlignment w:val="auto"/>
        <w:rPr>
          <w:rFonts w:ascii="Times New Roman" w:hAnsi="Times New Roman" w:cs="Times New Roman" w:eastAsiaTheme="majorEastAsia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ind w:firstLine="643" w:firstLineChars="200"/>
        <w:jc w:val="both"/>
        <w:textAlignment w:val="auto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  <w:lang w:eastAsia="zh-CN"/>
        </w:rPr>
        <w:t>二、梁宗锁同志基本情况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ind w:firstLine="480" w:firstLineChars="200"/>
        <w:textAlignment w:val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梁宗锁，男，</w:t>
      </w:r>
      <w:r>
        <w:rPr>
          <w:rFonts w:hint="eastAsia" w:ascii="宋体" w:hAnsi="宋体" w:eastAsia="宋体" w:cs="Times New Roman"/>
          <w:sz w:val="24"/>
          <w:szCs w:val="24"/>
        </w:rPr>
        <w:t>汉族</w:t>
      </w:r>
      <w:r>
        <w:rPr>
          <w:rFonts w:ascii="宋体" w:hAnsi="宋体" w:eastAsia="宋体" w:cs="Times New Roman"/>
          <w:sz w:val="24"/>
          <w:szCs w:val="24"/>
        </w:rPr>
        <w:t>族，</w:t>
      </w:r>
      <w:r>
        <w:rPr>
          <w:rFonts w:hint="eastAsia" w:ascii="宋体" w:hAnsi="宋体" w:eastAsia="宋体" w:cs="Times New Roman"/>
          <w:sz w:val="24"/>
          <w:szCs w:val="24"/>
        </w:rPr>
        <w:t>1965</w:t>
      </w:r>
      <w:r>
        <w:rPr>
          <w:rFonts w:ascii="宋体" w:hAnsi="宋体" w:eastAsia="宋体" w:cs="Times New Roman"/>
          <w:sz w:val="24"/>
          <w:szCs w:val="24"/>
        </w:rPr>
        <w:t>年</w:t>
      </w:r>
      <w:r>
        <w:rPr>
          <w:rFonts w:hint="eastAsia" w:ascii="宋体" w:hAnsi="宋体" w:eastAsia="宋体" w:cs="Times New Roman"/>
          <w:sz w:val="24"/>
          <w:szCs w:val="24"/>
        </w:rPr>
        <w:t>8</w:t>
      </w:r>
      <w:r>
        <w:rPr>
          <w:rFonts w:ascii="宋体" w:hAnsi="宋体" w:eastAsia="宋体" w:cs="Times New Roman"/>
          <w:sz w:val="24"/>
          <w:szCs w:val="24"/>
        </w:rPr>
        <w:t>月出生，教授、享受国务院特殊津贴专家，教育部新世纪优秀人才支持计划、浙江省钱江学者特聘教授，浙江省重中之重学科“生物学”学科带头人，浙江省一流学科学科“生物学”学科带头人，现任现任浙江理工大学生命科学与医药学院党委院长，浙江理工大学绍兴生物医药研究院院长，兼任中国科学院水土保持与生态环境研究中心研究员、博士生导师，浙江省植物次生代谢调控重点实验室主任，中药指纹图谱与天然产物国家地方联合工程中心主任，中国丹参产业技术创新战略联盟理事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ind w:firstLine="482" w:firstLineChars="200"/>
        <w:textAlignment w:val="auto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  <w:lang w:eastAsia="zh-CN"/>
        </w:rPr>
        <w:t>（一）</w:t>
      </w:r>
      <w:r>
        <w:rPr>
          <w:rFonts w:ascii="宋体" w:hAnsi="宋体" w:eastAsia="宋体" w:cs="Times New Roman"/>
          <w:b/>
          <w:bCs/>
          <w:sz w:val="24"/>
          <w:szCs w:val="24"/>
        </w:rPr>
        <w:t>所获荣誉</w:t>
      </w:r>
    </w:p>
    <w:p>
      <w:pPr>
        <w:keepNext w:val="0"/>
        <w:keepLines w:val="0"/>
        <w:pageBreakBefore w:val="0"/>
        <w:tabs>
          <w:tab w:val="left" w:pos="312"/>
        </w:tabs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ind w:firstLine="480" w:firstLineChars="200"/>
        <w:textAlignment w:val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曾获感动陕西2005年度十大杰出人物、中药现代化科技产业基地建设十周年先进个人、中国科学院朱李月华优秀教师奖、中国科学院院地合作奖先进个人（科技类）、第三届陕西青年科技奖、2004年度陕西省十大杰出青年、陕西省青年突击手标兵等称号。获得教学成果奖5项，其中省部级2项；获得省部级科学技术成果奖10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ind w:firstLine="482" w:firstLineChars="200"/>
        <w:textAlignment w:val="auto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  <w:lang w:eastAsia="zh-CN"/>
        </w:rPr>
        <w:t>（二）</w:t>
      </w:r>
      <w:r>
        <w:rPr>
          <w:rFonts w:ascii="宋体" w:hAnsi="宋体" w:eastAsia="宋体" w:cs="Times New Roman"/>
          <w:b/>
          <w:bCs/>
          <w:sz w:val="24"/>
          <w:szCs w:val="24"/>
        </w:rPr>
        <w:t>主要业绩</w:t>
      </w:r>
    </w:p>
    <w:p>
      <w:pPr>
        <w:keepNext w:val="0"/>
        <w:keepLines w:val="0"/>
        <w:pageBreakBefore w:val="0"/>
        <w:tabs>
          <w:tab w:val="left" w:pos="720"/>
        </w:tabs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ind w:firstLine="480" w:firstLineChars="200"/>
        <w:textAlignment w:val="auto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1.</w:t>
      </w:r>
      <w:r>
        <w:rPr>
          <w:rFonts w:ascii="宋体" w:hAnsi="宋体" w:eastAsia="宋体" w:cs="Times New Roman"/>
          <w:b/>
          <w:kern w:val="0"/>
          <w:sz w:val="24"/>
          <w:szCs w:val="24"/>
        </w:rPr>
        <w:t>论著</w:t>
      </w:r>
      <w:r>
        <w:rPr>
          <w:rFonts w:ascii="宋体" w:hAnsi="宋体" w:eastAsia="宋体" w:cs="Times New Roman"/>
          <w:kern w:val="0"/>
          <w:sz w:val="24"/>
          <w:szCs w:val="24"/>
        </w:rPr>
        <w:t>：发表学术论文500余篇，SCI/EI收录论文80余篇，著作有科学出版社《丹参规范化生产》（2014），《黄土高原乡土草种水分生理生态特征》（2015），《植物生理学》（2008）等系列教材。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ind w:firstLine="480" w:firstLineChars="200"/>
        <w:textAlignment w:val="auto"/>
        <w:rPr>
          <w:rFonts w:ascii="宋体" w:hAnsi="宋体" w:eastAsia="宋体" w:cs="Times New Roman"/>
          <w:b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2.</w:t>
      </w:r>
      <w:r>
        <w:rPr>
          <w:rFonts w:ascii="宋体" w:hAnsi="宋体" w:eastAsia="宋体" w:cs="Times New Roman"/>
          <w:b/>
          <w:sz w:val="24"/>
          <w:szCs w:val="24"/>
        </w:rPr>
        <w:t>主持课题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ind w:firstLine="482" w:firstLineChars="200"/>
        <w:textAlignment w:val="auto"/>
        <w:rPr>
          <w:rFonts w:ascii="宋体" w:hAnsi="宋体" w:eastAsia="宋体" w:cs="Times New Roman"/>
          <w:b/>
          <w:sz w:val="24"/>
          <w:szCs w:val="24"/>
        </w:rPr>
      </w:pPr>
      <w:r>
        <w:rPr>
          <w:rFonts w:ascii="宋体" w:hAnsi="宋体" w:eastAsia="宋体" w:cs="Times New Roman"/>
          <w:b/>
          <w:sz w:val="24"/>
          <w:szCs w:val="24"/>
        </w:rPr>
        <w:t>（1）国家项目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ind w:left="0" w:firstLine="480" w:firstLineChars="200"/>
        <w:textAlignment w:val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教育部博士点基金博导基金：丹参花色</w:t>
      </w:r>
      <w:r>
        <w:rPr>
          <w:rFonts w:ascii="宋体" w:hAnsi="宋体" w:eastAsia="宋体" w:cs="Times New Roman"/>
          <w:color w:val="000000"/>
          <w:sz w:val="24"/>
          <w:szCs w:val="24"/>
        </w:rPr>
        <w:t>素合成调控的分子机理</w:t>
      </w:r>
      <w:r>
        <w:rPr>
          <w:rFonts w:ascii="宋体" w:hAnsi="宋体" w:eastAsia="宋体" w:cs="Times New Roman"/>
          <w:sz w:val="24"/>
          <w:szCs w:val="24"/>
        </w:rPr>
        <w:t>，2011-2014，主持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360" w:lineRule="exact"/>
        <w:ind w:left="0" w:firstLine="480" w:firstLineChars="200"/>
        <w:textAlignment w:val="auto"/>
        <w:rPr>
          <w:rFonts w:ascii="宋体" w:hAnsi="宋体" w:eastAsia="宋体" w:cs="Times New Roman"/>
          <w:color w:val="000000"/>
          <w:sz w:val="24"/>
          <w:szCs w:val="24"/>
          <w:shd w:val="clear" w:color="auto" w:fill="FFFFFF"/>
        </w:rPr>
      </w:pPr>
      <w:r>
        <w:rPr>
          <w:rFonts w:ascii="宋体" w:hAnsi="宋体" w:eastAsia="宋体" w:cs="Times New Roman"/>
          <w:color w:val="000000"/>
          <w:sz w:val="24"/>
          <w:szCs w:val="24"/>
          <w:shd w:val="clear" w:color="auto" w:fill="FFFFFF"/>
        </w:rPr>
        <w:t>丹参花色素形成与丹酚酸B积累调控的分子机理（1204806-Y），科研启动基金，2012 -2014，</w:t>
      </w:r>
      <w:r>
        <w:rPr>
          <w:rFonts w:ascii="宋体" w:hAnsi="宋体" w:eastAsia="宋体" w:cs="Times New Roman"/>
          <w:sz w:val="24"/>
          <w:szCs w:val="24"/>
        </w:rPr>
        <w:t>主持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360" w:lineRule="exact"/>
        <w:ind w:left="0" w:firstLine="480" w:firstLineChars="200"/>
        <w:textAlignment w:val="auto"/>
        <w:rPr>
          <w:rFonts w:ascii="宋体" w:hAnsi="宋体" w:eastAsia="宋体" w:cs="Times New Roman"/>
          <w:color w:val="000000"/>
          <w:sz w:val="24"/>
          <w:szCs w:val="24"/>
          <w:shd w:val="clear" w:color="auto" w:fill="FFFFFF"/>
        </w:rPr>
      </w:pPr>
      <w:r>
        <w:rPr>
          <w:rFonts w:ascii="宋体" w:hAnsi="宋体" w:eastAsia="宋体" w:cs="Times New Roman"/>
          <w:color w:val="000000"/>
          <w:sz w:val="24"/>
          <w:szCs w:val="24"/>
          <w:shd w:val="clear" w:color="auto" w:fill="FFFFFF"/>
        </w:rPr>
        <w:t>植物次生代谢调控创新团队，科研创新团队，2013-2016，</w:t>
      </w:r>
      <w:r>
        <w:rPr>
          <w:rFonts w:ascii="宋体" w:hAnsi="宋体" w:eastAsia="宋体" w:cs="Times New Roman"/>
          <w:sz w:val="24"/>
          <w:szCs w:val="24"/>
        </w:rPr>
        <w:t>主持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360" w:lineRule="exact"/>
        <w:ind w:left="0" w:firstLine="480" w:firstLineChars="200"/>
        <w:textAlignment w:val="auto"/>
        <w:rPr>
          <w:rFonts w:ascii="宋体" w:hAnsi="宋体" w:eastAsia="宋体" w:cs="Times New Roman"/>
          <w:color w:val="000000"/>
          <w:sz w:val="24"/>
          <w:szCs w:val="24"/>
          <w:shd w:val="clear" w:color="auto" w:fill="FFFFFF"/>
        </w:rPr>
      </w:pPr>
      <w:r>
        <w:rPr>
          <w:rFonts w:ascii="宋体" w:hAnsi="宋体" w:eastAsia="宋体" w:cs="Times New Roman"/>
          <w:color w:val="000000"/>
          <w:sz w:val="24"/>
          <w:szCs w:val="24"/>
          <w:shd w:val="clear" w:color="auto" w:fill="FFFFFF"/>
        </w:rPr>
        <w:t>MYB转录因子对丹参酚酸类成分生物合成的调控作用及其机制研究（81373908），国家自然科学基金项目，2014-2017，</w:t>
      </w:r>
      <w:r>
        <w:rPr>
          <w:rFonts w:ascii="宋体" w:hAnsi="宋体" w:eastAsia="宋体" w:cs="Times New Roman"/>
          <w:sz w:val="24"/>
          <w:szCs w:val="24"/>
        </w:rPr>
        <w:t>主持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360" w:lineRule="exact"/>
        <w:ind w:left="0" w:firstLine="480" w:firstLineChars="200"/>
        <w:textAlignment w:val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财政专项：药用植物次生代谢研究平台，2015，主持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solid" w:color="FFFFFF" w:fill="auto"/>
        <w:tabs>
          <w:tab w:val="left" w:pos="780"/>
        </w:tabs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360" w:lineRule="exact"/>
        <w:ind w:left="0" w:firstLine="480" w:firstLineChars="200"/>
        <w:textAlignment w:val="auto"/>
        <w:rPr>
          <w:rFonts w:ascii="宋体" w:hAnsi="宋体" w:eastAsia="宋体" w:cs="Times New Roman"/>
          <w:color w:val="000000"/>
          <w:sz w:val="24"/>
          <w:szCs w:val="24"/>
          <w:shd w:val="clear" w:color="auto" w:fill="FFFFFF"/>
        </w:rPr>
      </w:pPr>
      <w:r>
        <w:rPr>
          <w:rFonts w:ascii="宋体" w:hAnsi="宋体" w:eastAsia="宋体" w:cs="Times New Roman"/>
          <w:sz w:val="24"/>
          <w:szCs w:val="24"/>
        </w:rPr>
        <w:t>浙江省科技厅：浙江省植物次生代谢调</w:t>
      </w:r>
      <w:r>
        <w:rPr>
          <w:rFonts w:ascii="宋体" w:hAnsi="宋体" w:eastAsia="宋体" w:cs="Times New Roman"/>
          <w:color w:val="000000"/>
          <w:sz w:val="24"/>
          <w:szCs w:val="24"/>
          <w:shd w:val="clear" w:color="auto" w:fill="FFFFFF"/>
        </w:rPr>
        <w:t>控重点实验室，浙江省科技厅，2015-2016，主持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solid" w:color="FFFFFF" w:fill="auto"/>
        <w:tabs>
          <w:tab w:val="left" w:pos="780"/>
        </w:tabs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360" w:lineRule="exact"/>
        <w:ind w:left="0" w:firstLine="480" w:firstLineChars="200"/>
        <w:textAlignment w:val="auto"/>
        <w:rPr>
          <w:rFonts w:ascii="宋体" w:hAnsi="宋体" w:eastAsia="宋体" w:cs="Times New Roman"/>
          <w:color w:val="000000"/>
          <w:sz w:val="24"/>
          <w:szCs w:val="24"/>
          <w:shd w:val="clear" w:color="auto" w:fill="FFFFFF"/>
        </w:rPr>
      </w:pPr>
      <w:r>
        <w:rPr>
          <w:rFonts w:ascii="宋体" w:hAnsi="宋体" w:eastAsia="宋体" w:cs="Times New Roman"/>
          <w:color w:val="000000"/>
          <w:sz w:val="24"/>
          <w:szCs w:val="24"/>
          <w:shd w:val="clear" w:color="auto" w:fill="FFFFFF"/>
        </w:rPr>
        <w:t>浙江省自然基金重点项目：bHLH类转录因子调控丹参酚酸类成分合成的分子机制研究，2016-2019，主持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ind w:firstLine="482" w:firstLineChars="200"/>
        <w:textAlignment w:val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b/>
          <w:sz w:val="24"/>
          <w:szCs w:val="24"/>
        </w:rPr>
        <w:t>（2）承担企业研发项目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ind w:left="0" w:firstLine="480" w:firstLineChars="200"/>
        <w:textAlignment w:val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镇坪逢春林麝养殖有限责任公司：麝规范化养殖技术与麝香质量标准研究，2012.12-2014.12，主持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ind w:left="0" w:firstLine="480" w:firstLineChars="200"/>
        <w:textAlignment w:val="auto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西安安得药业有限责任公司：黄连规范化生产技术研究，2012.12-2014.12，主持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360" w:lineRule="exact"/>
        <w:ind w:left="0" w:firstLine="480" w:firstLineChars="200"/>
        <w:textAlignment w:val="auto"/>
        <w:rPr>
          <w:rFonts w:ascii="宋体" w:hAnsi="宋体" w:eastAsia="宋体" w:cs="Times New Roman"/>
          <w:color w:val="000000"/>
          <w:sz w:val="24"/>
          <w:szCs w:val="24"/>
          <w:shd w:val="clear" w:color="auto" w:fill="FFFFFF"/>
        </w:rPr>
      </w:pPr>
      <w:r>
        <w:rPr>
          <w:rFonts w:ascii="宋体" w:hAnsi="宋体" w:eastAsia="宋体" w:cs="Times New Roman"/>
          <w:color w:val="000000"/>
          <w:sz w:val="24"/>
          <w:szCs w:val="24"/>
          <w:shd w:val="clear" w:color="auto" w:fill="FFFFFF"/>
        </w:rPr>
        <w:t>麝规范化养殖技术与麝香质量标准研究，镇坪县逢春林麝养殖有限责任公司，2012.12.01-2014.12.31，</w:t>
      </w:r>
      <w:r>
        <w:rPr>
          <w:rFonts w:ascii="宋体" w:hAnsi="宋体" w:eastAsia="宋体" w:cs="Times New Roman"/>
          <w:sz w:val="24"/>
          <w:szCs w:val="24"/>
        </w:rPr>
        <w:t>主持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360" w:lineRule="exact"/>
        <w:ind w:left="0" w:firstLine="480" w:firstLineChars="200"/>
        <w:textAlignment w:val="auto"/>
        <w:rPr>
          <w:rFonts w:ascii="宋体" w:hAnsi="宋体" w:eastAsia="宋体" w:cs="Times New Roman"/>
          <w:color w:val="000000"/>
          <w:sz w:val="24"/>
          <w:szCs w:val="24"/>
          <w:shd w:val="clear" w:color="auto" w:fill="FFFFFF"/>
        </w:rPr>
      </w:pPr>
      <w:r>
        <w:rPr>
          <w:rFonts w:ascii="宋体" w:hAnsi="宋体" w:eastAsia="宋体" w:cs="Times New Roman"/>
          <w:color w:val="000000"/>
          <w:sz w:val="24"/>
          <w:szCs w:val="24"/>
          <w:shd w:val="clear" w:color="auto" w:fill="FFFFFF"/>
        </w:rPr>
        <w:t>黄连规范化生产技术研究，西安安得药业有限责任公司，2012.12.01-2014.12.31，</w:t>
      </w:r>
      <w:r>
        <w:rPr>
          <w:rFonts w:ascii="宋体" w:hAnsi="宋体" w:eastAsia="宋体" w:cs="Times New Roman"/>
          <w:sz w:val="24"/>
          <w:szCs w:val="24"/>
        </w:rPr>
        <w:t>主持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360" w:lineRule="exact"/>
        <w:ind w:left="0" w:firstLine="480" w:firstLineChars="200"/>
        <w:textAlignment w:val="auto"/>
        <w:rPr>
          <w:rFonts w:ascii="宋体" w:hAnsi="宋体" w:eastAsia="宋体" w:cs="Times New Roman"/>
          <w:color w:val="000000"/>
          <w:sz w:val="24"/>
          <w:szCs w:val="24"/>
          <w:shd w:val="clear" w:color="auto" w:fill="FFFFFF"/>
        </w:rPr>
      </w:pPr>
      <w:r>
        <w:rPr>
          <w:rFonts w:ascii="宋体" w:hAnsi="宋体" w:eastAsia="宋体" w:cs="Times New Roman"/>
          <w:color w:val="000000"/>
          <w:sz w:val="24"/>
          <w:szCs w:val="24"/>
          <w:shd w:val="clear" w:color="auto" w:fill="FFFFFF"/>
        </w:rPr>
        <w:t>丹参酚酸类化合物的定向生物合成及其分子生物学调控机制，天津天士力现代中药资源有限公司，2012.11.01-2015.11.30，</w:t>
      </w:r>
      <w:r>
        <w:rPr>
          <w:rFonts w:ascii="宋体" w:hAnsi="宋体" w:eastAsia="宋体" w:cs="Times New Roman"/>
          <w:sz w:val="24"/>
          <w:szCs w:val="24"/>
        </w:rPr>
        <w:t>主持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360" w:lineRule="exact"/>
        <w:ind w:left="0" w:firstLine="480" w:firstLineChars="200"/>
        <w:textAlignment w:val="auto"/>
        <w:rPr>
          <w:rFonts w:ascii="宋体" w:hAnsi="宋体" w:eastAsia="宋体" w:cs="Times New Roman"/>
          <w:color w:val="000000"/>
          <w:sz w:val="24"/>
          <w:szCs w:val="24"/>
          <w:shd w:val="clear" w:color="auto" w:fill="FFFFFF"/>
        </w:rPr>
      </w:pPr>
      <w:r>
        <w:rPr>
          <w:rFonts w:ascii="宋体" w:hAnsi="宋体" w:eastAsia="宋体" w:cs="Times New Roman"/>
          <w:color w:val="000000"/>
          <w:sz w:val="24"/>
          <w:szCs w:val="24"/>
          <w:shd w:val="clear" w:color="auto" w:fill="FFFFFF"/>
        </w:rPr>
        <w:t>康美恋园建设可行性论证报告编制，浙江康美恋园农业科技有限公司，2013.01.06-2013.12.30，</w:t>
      </w:r>
      <w:r>
        <w:rPr>
          <w:rFonts w:ascii="宋体" w:hAnsi="宋体" w:eastAsia="宋体" w:cs="Times New Roman"/>
          <w:sz w:val="24"/>
          <w:szCs w:val="24"/>
        </w:rPr>
        <w:t>主持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ind w:firstLine="480" w:firstLineChars="200"/>
        <w:textAlignment w:val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3.</w:t>
      </w:r>
      <w:r>
        <w:rPr>
          <w:rFonts w:ascii="宋体" w:hAnsi="宋体" w:eastAsia="宋体" w:cs="Times New Roman"/>
          <w:sz w:val="24"/>
          <w:szCs w:val="24"/>
        </w:rPr>
        <w:t>代表论文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textAlignment w:val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）</w:t>
      </w:r>
      <w:r>
        <w:rPr>
          <w:rFonts w:ascii="宋体" w:hAnsi="宋体" w:eastAsia="宋体" w:cs="Times New Roman"/>
          <w:sz w:val="24"/>
          <w:szCs w:val="24"/>
        </w:rPr>
        <w:t xml:space="preserve">Zhang Shuncang, Li Hongyan, Liang Xiao, Yan Yan, Xia Pengguo, Jia Yanyan and </w:t>
      </w:r>
      <w:r>
        <w:rPr>
          <w:rFonts w:ascii="宋体" w:hAnsi="宋体" w:eastAsia="宋体" w:cs="Times New Roman"/>
          <w:b/>
          <w:bCs/>
          <w:sz w:val="24"/>
          <w:szCs w:val="24"/>
        </w:rPr>
        <w:t>Liang Zongsuo*</w:t>
      </w:r>
      <w:r>
        <w:rPr>
          <w:rFonts w:ascii="宋体" w:hAnsi="宋体" w:eastAsia="宋体" w:cs="Times New Roman"/>
          <w:sz w:val="24"/>
          <w:szCs w:val="24"/>
        </w:rPr>
        <w:t xml:space="preserve">, Enhanced production of phenolic acids in Salvia miltiorrhiza hairy root cultures by combing the RNAi-mediated silencing of chalcone synthase gene with salicylic acid treatment, </w:t>
      </w:r>
      <w:r>
        <w:rPr>
          <w:rFonts w:ascii="宋体" w:hAnsi="宋体" w:eastAsia="宋体" w:cs="Times New Roman"/>
          <w:i/>
          <w:sz w:val="24"/>
          <w:szCs w:val="24"/>
        </w:rPr>
        <w:t>Biochemical Engineering Journal</w:t>
      </w:r>
      <w:r>
        <w:rPr>
          <w:rFonts w:ascii="宋体" w:hAnsi="宋体" w:eastAsia="宋体" w:cs="Times New Roman"/>
          <w:sz w:val="24"/>
          <w:szCs w:val="24"/>
        </w:rPr>
        <w:t>, 2015, 103,185-192.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textAlignment w:val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）</w:t>
      </w:r>
      <w:r>
        <w:rPr>
          <w:rFonts w:ascii="宋体" w:hAnsi="宋体" w:eastAsia="宋体" w:cs="Times New Roman"/>
          <w:sz w:val="24"/>
          <w:szCs w:val="24"/>
        </w:rPr>
        <w:t xml:space="preserve">Xing B., Yang D., Guo W., </w:t>
      </w:r>
      <w:r>
        <w:rPr>
          <w:rFonts w:ascii="宋体" w:hAnsi="宋体" w:eastAsia="宋体" w:cs="Times New Roman"/>
          <w:b/>
          <w:bCs/>
          <w:sz w:val="24"/>
          <w:szCs w:val="24"/>
        </w:rPr>
        <w:t>Liang Zongsuo*</w:t>
      </w:r>
      <w:r>
        <w:rPr>
          <w:rFonts w:ascii="宋体" w:hAnsi="宋体" w:eastAsia="宋体" w:cs="Times New Roman"/>
          <w:sz w:val="24"/>
          <w:szCs w:val="24"/>
        </w:rPr>
        <w:t xml:space="preserve">, Yan X., Zhu Y. and Liu Y., Ag+ as a more effective elicitor for production of tanshinones than phenolic acids in Salvia miltiorrhiza hairy roots, </w:t>
      </w:r>
      <w:r>
        <w:rPr>
          <w:rFonts w:ascii="宋体" w:hAnsi="宋体" w:eastAsia="宋体" w:cs="Times New Roman"/>
          <w:i/>
          <w:sz w:val="24"/>
          <w:szCs w:val="24"/>
        </w:rPr>
        <w:t>Molecules</w:t>
      </w:r>
      <w:r>
        <w:rPr>
          <w:rFonts w:ascii="宋体" w:hAnsi="宋体" w:eastAsia="宋体" w:cs="Times New Roman"/>
          <w:sz w:val="24"/>
          <w:szCs w:val="24"/>
        </w:rPr>
        <w:t>, 2015, 20(1),309-324.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textAlignment w:val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）</w:t>
      </w:r>
      <w:r>
        <w:rPr>
          <w:rFonts w:ascii="宋体" w:hAnsi="宋体" w:eastAsia="宋体" w:cs="Times New Roman"/>
          <w:sz w:val="24"/>
          <w:szCs w:val="24"/>
        </w:rPr>
        <w:t xml:space="preserve">Xia Pengguo, Li Jiazhou, Wang Ruilin, Zhang Yu, Guo Hongbo, Yan Xijun, Liu Yan and </w:t>
      </w:r>
      <w:r>
        <w:rPr>
          <w:rFonts w:ascii="宋体" w:hAnsi="宋体" w:eastAsia="宋体" w:cs="Times New Roman"/>
          <w:b/>
          <w:bCs/>
          <w:sz w:val="24"/>
          <w:szCs w:val="24"/>
        </w:rPr>
        <w:t>Liang Zongsuo*</w:t>
      </w:r>
      <w:r>
        <w:rPr>
          <w:rFonts w:ascii="宋体" w:hAnsi="宋体" w:eastAsia="宋体" w:cs="Times New Roman"/>
          <w:sz w:val="24"/>
          <w:szCs w:val="24"/>
        </w:rPr>
        <w:t xml:space="preserve">, Comparative study on volatile oils of four Panax genus species in Southeast Asia by gas chromatography-mass spectrometry, </w:t>
      </w:r>
      <w:r>
        <w:rPr>
          <w:rFonts w:ascii="宋体" w:hAnsi="宋体" w:eastAsia="宋体" w:cs="Times New Roman"/>
          <w:i/>
          <w:sz w:val="24"/>
          <w:szCs w:val="24"/>
        </w:rPr>
        <w:t>Industrial Crops and Products</w:t>
      </w:r>
      <w:r>
        <w:rPr>
          <w:rFonts w:ascii="宋体" w:hAnsi="宋体" w:eastAsia="宋体" w:cs="Times New Roman"/>
          <w:sz w:val="24"/>
          <w:szCs w:val="24"/>
        </w:rPr>
        <w:t>, 2015, 74,478-484.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textAlignment w:val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）</w:t>
      </w:r>
      <w:r>
        <w:rPr>
          <w:rFonts w:ascii="宋体" w:hAnsi="宋体" w:eastAsia="宋体" w:cs="Times New Roman"/>
          <w:sz w:val="24"/>
          <w:szCs w:val="24"/>
        </w:rPr>
        <w:t xml:space="preserve">Wang Yancui, Liu Feng and </w:t>
      </w:r>
      <w:r>
        <w:rPr>
          <w:rFonts w:ascii="宋体" w:hAnsi="宋体" w:eastAsia="宋体" w:cs="Times New Roman"/>
          <w:b/>
          <w:bCs/>
          <w:sz w:val="24"/>
          <w:szCs w:val="24"/>
        </w:rPr>
        <w:t>Liang Zongsuo*</w:t>
      </w:r>
      <w:r>
        <w:rPr>
          <w:rFonts w:ascii="宋体" w:hAnsi="宋体" w:eastAsia="宋体" w:cs="Times New Roman"/>
          <w:sz w:val="24"/>
          <w:szCs w:val="24"/>
        </w:rPr>
        <w:t xml:space="preserve">, Nutritional Composition, alpha-Glucosidase Inhibitory and Antioxidant Activities of Ophiopogon japonicus Tubers, </w:t>
      </w:r>
      <w:r>
        <w:rPr>
          <w:rFonts w:ascii="宋体" w:hAnsi="宋体" w:eastAsia="宋体" w:cs="Times New Roman"/>
          <w:i/>
          <w:sz w:val="24"/>
          <w:szCs w:val="24"/>
        </w:rPr>
        <w:t>Journal Of Chemistry</w:t>
      </w:r>
      <w:r>
        <w:rPr>
          <w:rFonts w:ascii="宋体" w:hAnsi="宋体" w:eastAsia="宋体" w:cs="Times New Roman"/>
          <w:sz w:val="24"/>
          <w:szCs w:val="24"/>
        </w:rPr>
        <w:t>, 2015.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textAlignment w:val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）</w:t>
      </w:r>
      <w:r>
        <w:rPr>
          <w:rFonts w:ascii="宋体" w:hAnsi="宋体" w:eastAsia="宋体" w:cs="Times New Roman"/>
          <w:sz w:val="24"/>
          <w:szCs w:val="24"/>
        </w:rPr>
        <w:t xml:space="preserve">Ma Pengda, Liu Jingying, Osbourn Anne, Dong Juane and </w:t>
      </w:r>
      <w:r>
        <w:rPr>
          <w:rFonts w:ascii="宋体" w:hAnsi="宋体" w:eastAsia="宋体" w:cs="Times New Roman"/>
          <w:b/>
          <w:bCs/>
          <w:sz w:val="24"/>
          <w:szCs w:val="24"/>
        </w:rPr>
        <w:t>Liang Zongsuo*</w:t>
      </w:r>
      <w:r>
        <w:rPr>
          <w:rFonts w:ascii="宋体" w:hAnsi="宋体" w:eastAsia="宋体" w:cs="Times New Roman"/>
          <w:sz w:val="24"/>
          <w:szCs w:val="24"/>
        </w:rPr>
        <w:t xml:space="preserve">, Regulation and metabolic engineering of tanshinone biosynthesis, </w:t>
      </w:r>
      <w:r>
        <w:rPr>
          <w:rFonts w:ascii="宋体" w:hAnsi="宋体" w:eastAsia="宋体" w:cs="Times New Roman"/>
          <w:i/>
          <w:sz w:val="24"/>
          <w:szCs w:val="24"/>
        </w:rPr>
        <w:t>Rsc Advances</w:t>
      </w:r>
      <w:r>
        <w:rPr>
          <w:rFonts w:ascii="宋体" w:hAnsi="宋体" w:eastAsia="宋体" w:cs="Times New Roman"/>
          <w:sz w:val="24"/>
          <w:szCs w:val="24"/>
        </w:rPr>
        <w:t>, 2015, 5(23),18137-18144.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textAlignment w:val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）</w:t>
      </w:r>
      <w:r>
        <w:rPr>
          <w:rFonts w:ascii="宋体" w:hAnsi="宋体" w:eastAsia="宋体" w:cs="Times New Roman"/>
          <w:sz w:val="24"/>
          <w:szCs w:val="24"/>
        </w:rPr>
        <w:t xml:space="preserve">Liu Yonghong, Liu Wenting and </w:t>
      </w:r>
      <w:r>
        <w:rPr>
          <w:rFonts w:ascii="宋体" w:hAnsi="宋体" w:eastAsia="宋体" w:cs="Times New Roman"/>
          <w:b/>
          <w:bCs/>
          <w:sz w:val="24"/>
          <w:szCs w:val="24"/>
        </w:rPr>
        <w:t>Liang Zongsuo*</w:t>
      </w:r>
      <w:r>
        <w:rPr>
          <w:rFonts w:ascii="宋体" w:hAnsi="宋体" w:eastAsia="宋体" w:cs="Times New Roman"/>
          <w:sz w:val="24"/>
          <w:szCs w:val="24"/>
        </w:rPr>
        <w:t xml:space="preserve">, Endophytic bacteria from Pinellia ternata, a new source of purine alkaloids and bacterial manure, </w:t>
      </w:r>
      <w:r>
        <w:rPr>
          <w:rFonts w:ascii="宋体" w:hAnsi="宋体" w:eastAsia="宋体" w:cs="Times New Roman"/>
          <w:i/>
          <w:sz w:val="24"/>
          <w:szCs w:val="24"/>
        </w:rPr>
        <w:t>Pharmaceutical Biology</w:t>
      </w:r>
      <w:r>
        <w:rPr>
          <w:rFonts w:ascii="宋体" w:hAnsi="宋体" w:eastAsia="宋体" w:cs="Times New Roman"/>
          <w:sz w:val="24"/>
          <w:szCs w:val="24"/>
        </w:rPr>
        <w:t>, 2015, 53(10),1545-1548.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textAlignment w:val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）</w:t>
      </w:r>
      <w:r>
        <w:rPr>
          <w:rFonts w:ascii="宋体" w:hAnsi="宋体" w:eastAsia="宋体" w:cs="Times New Roman"/>
          <w:sz w:val="24"/>
          <w:szCs w:val="24"/>
        </w:rPr>
        <w:t xml:space="preserve">Li Bo, Zhang Chenlu, Peng Liang, </w:t>
      </w:r>
      <w:r>
        <w:rPr>
          <w:rFonts w:ascii="宋体" w:hAnsi="宋体" w:eastAsia="宋体" w:cs="Times New Roman"/>
          <w:b/>
          <w:bCs/>
          <w:sz w:val="24"/>
          <w:szCs w:val="24"/>
        </w:rPr>
        <w:t>Liang Zongsuo*</w:t>
      </w:r>
      <w:r>
        <w:rPr>
          <w:rFonts w:ascii="宋体" w:hAnsi="宋体" w:eastAsia="宋体" w:cs="Times New Roman"/>
          <w:sz w:val="24"/>
          <w:szCs w:val="24"/>
        </w:rPr>
        <w:t xml:space="preserve">, Yan Xijun, Zhu Yonghong and Liu Yan, Comparison of essential oil composition and phenolic acid content of selected Salvia species measured by GC-MS and HPLC methods, </w:t>
      </w:r>
      <w:r>
        <w:rPr>
          <w:rFonts w:ascii="宋体" w:hAnsi="宋体" w:eastAsia="宋体" w:cs="Times New Roman"/>
          <w:i/>
          <w:sz w:val="24"/>
          <w:szCs w:val="24"/>
        </w:rPr>
        <w:t>Industrial Crops and Products</w:t>
      </w:r>
      <w:r>
        <w:rPr>
          <w:rFonts w:ascii="宋体" w:hAnsi="宋体" w:eastAsia="宋体" w:cs="Times New Roman"/>
          <w:sz w:val="24"/>
          <w:szCs w:val="24"/>
        </w:rPr>
        <w:t>, 2015, 69,329-334.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textAlignment w:val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）</w:t>
      </w:r>
      <w:r>
        <w:rPr>
          <w:rFonts w:ascii="宋体" w:hAnsi="宋体" w:eastAsia="宋体" w:cs="Times New Roman"/>
          <w:sz w:val="24"/>
          <w:szCs w:val="24"/>
        </w:rPr>
        <w:t xml:space="preserve">Han Mingyu, Guo Wanli, </w:t>
      </w:r>
      <w:r>
        <w:rPr>
          <w:rFonts w:ascii="宋体" w:hAnsi="宋体" w:eastAsia="宋体" w:cs="Times New Roman"/>
          <w:b/>
          <w:bCs/>
          <w:sz w:val="24"/>
          <w:szCs w:val="24"/>
        </w:rPr>
        <w:t>Liang Zongsuo*</w:t>
      </w:r>
      <w:r>
        <w:rPr>
          <w:rFonts w:ascii="宋体" w:hAnsi="宋体" w:eastAsia="宋体" w:cs="Times New Roman"/>
          <w:sz w:val="24"/>
          <w:szCs w:val="24"/>
        </w:rPr>
        <w:t xml:space="preserve">, Yang Dongfeng, Yan Xijun, Zhu Yonghong and Liu Yan, Effects of cerous nitrate on growth and tanshinone production in salvia miltiorrhiza hairy roots, </w:t>
      </w:r>
      <w:r>
        <w:rPr>
          <w:rFonts w:ascii="宋体" w:hAnsi="宋体" w:eastAsia="宋体" w:cs="Times New Roman"/>
          <w:i/>
          <w:sz w:val="24"/>
          <w:szCs w:val="24"/>
        </w:rPr>
        <w:t>Journal of Rare Earths</w:t>
      </w:r>
      <w:r>
        <w:rPr>
          <w:rFonts w:ascii="宋体" w:hAnsi="宋体" w:eastAsia="宋体" w:cs="Times New Roman"/>
          <w:sz w:val="24"/>
          <w:szCs w:val="24"/>
        </w:rPr>
        <w:t>, 2015, 33(11),1228-1235.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textAlignment w:val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）</w:t>
      </w:r>
      <w:r>
        <w:rPr>
          <w:rFonts w:ascii="宋体" w:hAnsi="宋体" w:eastAsia="宋体" w:cs="Times New Roman"/>
          <w:sz w:val="24"/>
          <w:szCs w:val="24"/>
        </w:rPr>
        <w:t xml:space="preserve">Du Xuhong, Zhao Yulong, Yang Dongfeng, Liu Yan, Fan Kai, </w:t>
      </w:r>
      <w:r>
        <w:rPr>
          <w:rFonts w:ascii="宋体" w:hAnsi="宋体" w:eastAsia="宋体" w:cs="Times New Roman"/>
          <w:b/>
          <w:bCs/>
          <w:sz w:val="24"/>
          <w:szCs w:val="24"/>
        </w:rPr>
        <w:t>Liang Zongsuo*</w:t>
      </w:r>
      <w:r>
        <w:rPr>
          <w:rFonts w:ascii="宋体" w:hAnsi="宋体" w:eastAsia="宋体" w:cs="Times New Roman"/>
          <w:sz w:val="24"/>
          <w:szCs w:val="24"/>
        </w:rPr>
        <w:t xml:space="preserve"> and Han Ruilian*, A correlation model of UPLC fingerprints and anticoagulant activity for quality assessment of Panax notoginseng by hierarchical clustering analysis and multiple linear regression analysis, </w:t>
      </w:r>
      <w:r>
        <w:rPr>
          <w:rFonts w:ascii="宋体" w:hAnsi="宋体" w:eastAsia="宋体" w:cs="Times New Roman"/>
          <w:i/>
          <w:sz w:val="24"/>
          <w:szCs w:val="24"/>
        </w:rPr>
        <w:t>Analytical Methods</w:t>
      </w:r>
      <w:r>
        <w:rPr>
          <w:rFonts w:ascii="宋体" w:hAnsi="宋体" w:eastAsia="宋体" w:cs="Times New Roman"/>
          <w:sz w:val="24"/>
          <w:szCs w:val="24"/>
        </w:rPr>
        <w:t>, 2015, 7(7),2985-2992.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line="360" w:lineRule="exact"/>
        <w:textAlignment w:val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）</w:t>
      </w:r>
      <w:r>
        <w:rPr>
          <w:rFonts w:ascii="宋体" w:hAnsi="宋体" w:eastAsia="宋体" w:cs="Times New Roman"/>
          <w:sz w:val="24"/>
          <w:szCs w:val="24"/>
        </w:rPr>
        <w:t xml:space="preserve">Du Xuhong, Zhang Chenlu, Guo Wanli, Jin Weibo, </w:t>
      </w:r>
      <w:r>
        <w:rPr>
          <w:rFonts w:ascii="宋体" w:hAnsi="宋体" w:eastAsia="宋体" w:cs="Times New Roman"/>
          <w:b/>
          <w:bCs/>
          <w:sz w:val="24"/>
          <w:szCs w:val="24"/>
        </w:rPr>
        <w:t>Liang Zongsuo*</w:t>
      </w:r>
      <w:r>
        <w:rPr>
          <w:rFonts w:ascii="宋体" w:hAnsi="宋体" w:eastAsia="宋体" w:cs="Times New Roman"/>
          <w:sz w:val="24"/>
          <w:szCs w:val="24"/>
        </w:rPr>
        <w:t xml:space="preserve">, Yan Xijun, Guo Zhixin, Liu Yan and Yang Dongfeng, Nitric Oxide Plays a Central Role in Water Stress-Induced Tanshinone Production in Salvia miltiorrhiza Hairy Roots, </w:t>
      </w:r>
      <w:r>
        <w:rPr>
          <w:rFonts w:ascii="宋体" w:hAnsi="宋体" w:eastAsia="宋体" w:cs="Times New Roman"/>
          <w:i/>
          <w:sz w:val="24"/>
          <w:szCs w:val="24"/>
        </w:rPr>
        <w:t>Molecules</w:t>
      </w:r>
      <w:r>
        <w:rPr>
          <w:rFonts w:ascii="宋体" w:hAnsi="宋体" w:eastAsia="宋体" w:cs="Times New Roman"/>
          <w:sz w:val="24"/>
          <w:szCs w:val="24"/>
        </w:rPr>
        <w:t>, 2015, 20(5),7574-7585.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360" w:lineRule="exact"/>
        <w:textAlignment w:val="auto"/>
        <w:rPr>
          <w:rFonts w:ascii="Times New Roman" w:hAnsi="Times New Roman" w:cs="Times New Roman" w:eastAsiaTheme="maj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36B5C"/>
    <w:multiLevelType w:val="multilevel"/>
    <w:tmpl w:val="72D36B5C"/>
    <w:lvl w:ilvl="0" w:tentative="0">
      <w:start w:val="1"/>
      <w:numFmt w:val="decimal"/>
      <w:lvlText w:val="%1)"/>
      <w:lvlJc w:val="left"/>
      <w:pPr>
        <w:tabs>
          <w:tab w:val="left" w:pos="840"/>
        </w:tabs>
        <w:ind w:left="84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1">
    <w:nsid w:val="7CFC153D"/>
    <w:multiLevelType w:val="multilevel"/>
    <w:tmpl w:val="7CFC153D"/>
    <w:lvl w:ilvl="0" w:tentative="0">
      <w:start w:val="1"/>
      <w:numFmt w:val="decimal"/>
      <w:lvlText w:val="%1)"/>
      <w:lvlJc w:val="left"/>
      <w:pPr>
        <w:tabs>
          <w:tab w:val="left" w:pos="845"/>
        </w:tabs>
        <w:ind w:left="845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1200"/>
        </w:tabs>
        <w:ind w:left="12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20"/>
        </w:tabs>
        <w:ind w:left="16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040"/>
        </w:tabs>
        <w:ind w:left="20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60"/>
        </w:tabs>
        <w:ind w:left="24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00"/>
        </w:tabs>
        <w:ind w:left="33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20"/>
        </w:tabs>
        <w:ind w:left="37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140"/>
        </w:tabs>
        <w:ind w:left="41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91F"/>
    <w:rsid w:val="00022793"/>
    <w:rsid w:val="000E7C4B"/>
    <w:rsid w:val="00221644"/>
    <w:rsid w:val="002C48A1"/>
    <w:rsid w:val="003C291F"/>
    <w:rsid w:val="00590301"/>
    <w:rsid w:val="009260A4"/>
    <w:rsid w:val="00990B19"/>
    <w:rsid w:val="00C45917"/>
    <w:rsid w:val="1E1409A0"/>
    <w:rsid w:val="43C3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266</Words>
  <Characters>1521</Characters>
  <Lines>12</Lines>
  <Paragraphs>3</Paragraphs>
  <TotalTime>10</TotalTime>
  <ScaleCrop>false</ScaleCrop>
  <LinksUpToDate>false</LinksUpToDate>
  <CharactersWithSpaces>1784</CharactersWithSpaces>
  <Application>WPS Office_11.1.0.9827_F1E327BC-269C-435d-A152-05C5408002CA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2020-09-07T05:05:00Z</dcterms:created>
  <dc:creator>Users</dc:creator>
  <cp:lastModifiedBy>媞妈</cp:lastModifiedBy>
  <dcterms:modified xsi:type="dcterms:W3CDTF">2020-09-07T06:51:58Z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2052-11.1.0.9827</vt:lpwstr>
  </property>
</Properties>
</file>