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56"/>
          <w:szCs w:val="56"/>
        </w:rPr>
      </w:pPr>
      <w:bookmarkStart w:id="1" w:name="_Toc15377425"/>
      <w:bookmarkStart w:id="2" w:name="_Toc15396475"/>
      <w:bookmarkStart w:id="3" w:name="_Toc15378441"/>
      <w:bookmarkStart w:id="4" w:name="_Toc15396597"/>
      <w:bookmarkStart w:id="5" w:name="_Toc15377193"/>
      <w:r>
        <w:rPr>
          <w:rFonts w:ascii="黑体" w:hAnsi="黑体" w:eastAsia="黑体"/>
          <w:color w:val="000000"/>
          <w:sz w:val="56"/>
          <w:szCs w:val="56"/>
        </w:rPr>
        <w:t>201</w:t>
      </w:r>
      <w:r>
        <w:rPr>
          <w:rFonts w:hint="eastAsia" w:ascii="黑体" w:hAnsi="黑体" w:eastAsia="黑体"/>
          <w:color w:val="000000"/>
          <w:sz w:val="56"/>
          <w:szCs w:val="56"/>
          <w:lang w:val="en-US" w:eastAsia="zh-CN"/>
        </w:rPr>
        <w:t>9</w:t>
      </w:r>
      <w:r>
        <w:rPr>
          <w:rFonts w:hint="eastAsia" w:ascii="方正小标宋简体" w:hAnsi="宋体" w:eastAsia="方正小标宋简体"/>
          <w:color w:val="000000"/>
          <w:sz w:val="56"/>
          <w:szCs w:val="56"/>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56"/>
          <w:szCs w:val="56"/>
        </w:rPr>
      </w:pPr>
      <w:bookmarkStart w:id="6" w:name="_Toc15378442"/>
      <w:bookmarkStart w:id="7" w:name="_Toc15396598"/>
      <w:bookmarkStart w:id="8" w:name="_Toc15377426"/>
      <w:bookmarkStart w:id="9" w:name="_Toc15377194"/>
      <w:bookmarkStart w:id="10" w:name="_Toc15396476"/>
      <w:r>
        <w:rPr>
          <w:rFonts w:hint="eastAsia" w:ascii="方正小标宋简体" w:hAnsi="宋体" w:eastAsia="方正小标宋简体"/>
          <w:color w:val="000000"/>
          <w:sz w:val="56"/>
          <w:szCs w:val="56"/>
        </w:rPr>
        <w:t>四川省乐山</w:t>
      </w:r>
      <w:r>
        <w:rPr>
          <w:rFonts w:ascii="方正小标宋简体" w:hAnsi="宋体" w:eastAsia="方正小标宋简体"/>
          <w:color w:val="000000"/>
          <w:sz w:val="56"/>
          <w:szCs w:val="56"/>
        </w:rPr>
        <w:t>市</w:t>
      </w:r>
      <w:bookmarkEnd w:id="0"/>
      <w:bookmarkStart w:id="11" w:name="_Toc15306268"/>
      <w:r>
        <w:rPr>
          <w:rFonts w:hint="eastAsia" w:ascii="方正小标宋简体" w:hAnsi="宋体" w:eastAsia="方正小标宋简体"/>
          <w:color w:val="000000"/>
          <w:sz w:val="56"/>
          <w:szCs w:val="56"/>
          <w:lang w:eastAsia="zh-CN"/>
        </w:rPr>
        <w:t>乐山职业技术学院</w:t>
      </w:r>
      <w:r>
        <w:rPr>
          <w:rFonts w:hint="eastAsia" w:ascii="方正小标宋简体" w:hAnsi="宋体" w:eastAsia="方正小标宋简体"/>
          <w:color w:val="000000"/>
          <w:sz w:val="56"/>
          <w:szCs w:val="56"/>
        </w:rPr>
        <w:t>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0"/>
      </w:pPr>
      <w:r>
        <w:rPr>
          <w:rFonts w:hint="eastAsia"/>
        </w:rPr>
        <w:t>公开时间：2019年</w:t>
      </w:r>
      <w:r>
        <w:t xml:space="preserve"> </w:t>
      </w:r>
      <w:r>
        <w:rPr>
          <w:rFonts w:hint="eastAsia"/>
          <w:lang w:val="en-US" w:eastAsia="zh-CN"/>
        </w:rPr>
        <w:t>9</w:t>
      </w:r>
      <w:r>
        <w:t xml:space="preserve"> </w:t>
      </w:r>
      <w:r>
        <w:rPr>
          <w:rFonts w:hint="eastAsia"/>
        </w:rPr>
        <w:t xml:space="preserve">月 </w:t>
      </w:r>
      <w:r>
        <w:rPr>
          <w:rFonts w:hint="eastAsia"/>
          <w:lang w:val="en-US" w:eastAsia="zh-CN"/>
        </w:rPr>
        <w:t>22</w:t>
      </w:r>
      <w:r>
        <w:rPr>
          <w:rFonts w:hint="eastAsia"/>
        </w:rPr>
        <w:t xml:space="preserve"> 日</w:t>
      </w:r>
    </w:p>
    <w:p/>
    <w:p>
      <w:pPr>
        <w:pStyle w:val="10"/>
        <w:rPr>
          <w:rFonts w:cstheme="minorBidi"/>
        </w:rPr>
      </w:pPr>
      <w:r>
        <w:fldChar w:fldCharType="begin"/>
      </w:r>
      <w:r>
        <w:instrText xml:space="preserve"> HYPERLINK \l "_Toc15396599" </w:instrText>
      </w:r>
      <w:r>
        <w:fldChar w:fldCharType="separate"/>
      </w:r>
      <w:r>
        <w:rPr>
          <w:rStyle w:val="18"/>
          <w:rFonts w:hint="eastAsia"/>
        </w:rPr>
        <w:t>第一部分</w:t>
      </w:r>
      <w:r>
        <w:rPr>
          <w:rStyle w:val="18"/>
        </w:rPr>
        <w:t xml:space="preserve"> </w:t>
      </w:r>
      <w:r>
        <w:rPr>
          <w:rStyle w:val="18"/>
          <w:rFonts w:hint="eastAsia"/>
        </w:rPr>
        <w:t>部门概况</w:t>
      </w:r>
      <w:r>
        <w:tab/>
      </w:r>
      <w:r>
        <w:rPr>
          <w:rFonts w:hint="eastAsia"/>
        </w:rPr>
        <w:t>4</w:t>
      </w:r>
      <w:r>
        <w:rPr>
          <w:rFonts w:hint="eastAsia"/>
        </w:rPr>
        <w:fldChar w:fldCharType="end"/>
      </w:r>
    </w:p>
    <w:p>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8"/>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8"/>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4</w:t>
      </w:r>
      <w:r>
        <w:rPr>
          <w:rFonts w:ascii="仿宋" w:hAnsi="仿宋" w:eastAsia="仿宋"/>
          <w:sz w:val="28"/>
          <w:szCs w:val="28"/>
        </w:rPr>
        <w:fldChar w:fldCharType="end"/>
      </w:r>
      <w:r>
        <w:rPr>
          <w:rFonts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8"/>
          <w:rFonts w:hint="eastAsia"/>
        </w:rPr>
        <w:t>第二部分</w:t>
      </w:r>
      <w:r>
        <w:rPr>
          <w:rStyle w:val="18"/>
        </w:rPr>
        <w:t xml:space="preserve"> 2018</w:t>
      </w:r>
      <w:r>
        <w:rPr>
          <w:rStyle w:val="18"/>
          <w:rFonts w:hint="eastAsia"/>
        </w:rPr>
        <w:t>年度部门决算情况说明</w:t>
      </w:r>
      <w:r>
        <w:tab/>
      </w:r>
      <w:r>
        <w:fldChar w:fldCharType="begin"/>
      </w:r>
      <w:r>
        <w:instrText xml:space="preserve"> PAGEREF _Toc15396602 \h </w:instrText>
      </w:r>
      <w:r>
        <w:fldChar w:fldCharType="separate"/>
      </w:r>
      <w:r>
        <w:t>6</w:t>
      </w:r>
      <w:r>
        <w:fldChar w:fldCharType="end"/>
      </w:r>
      <w:r>
        <w:fldChar w:fldCharType="end"/>
      </w:r>
    </w:p>
    <w:p>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8"/>
          <w:rFonts w:hint="eastAsia" w:ascii="仿宋" w:hAnsi="仿宋" w:eastAsia="仿宋" w:cstheme="majorBidi"/>
          <w:bCs/>
          <w:sz w:val="28"/>
          <w:szCs w:val="28"/>
        </w:rPr>
        <w:t>一、</w:t>
      </w:r>
      <w:r>
        <w:rPr>
          <w:rStyle w:val="18"/>
          <w:rFonts w:hint="eastAsia" w:ascii="仿宋" w:hAnsi="仿宋" w:eastAsia="仿宋"/>
          <w:sz w:val="28"/>
          <w:szCs w:val="28"/>
        </w:rPr>
        <w:t>收</w:t>
      </w:r>
      <w:r>
        <w:rPr>
          <w:rStyle w:val="18"/>
          <w:rFonts w:hint="eastAsia" w:ascii="仿宋" w:hAnsi="仿宋" w:eastAsia="仿宋" w:cstheme="majorBidi"/>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8"/>
          <w:rFonts w:hint="eastAsia" w:ascii="仿宋" w:hAnsi="仿宋" w:eastAsia="仿宋" w:cstheme="majorBidi"/>
          <w:bCs/>
          <w:sz w:val="28"/>
          <w:szCs w:val="28"/>
        </w:rPr>
        <w:t>二、</w:t>
      </w:r>
      <w:r>
        <w:rPr>
          <w:rStyle w:val="18"/>
          <w:rFonts w:hint="eastAsia" w:ascii="仿宋" w:hAnsi="仿宋" w:eastAsia="仿宋"/>
          <w:sz w:val="28"/>
          <w:szCs w:val="28"/>
        </w:rPr>
        <w:t>收</w:t>
      </w:r>
      <w:r>
        <w:rPr>
          <w:rStyle w:val="18"/>
          <w:rFonts w:hint="eastAsia" w:ascii="仿宋" w:hAnsi="仿宋" w:eastAsia="仿宋" w:cstheme="majorBidi"/>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8"/>
          <w:rFonts w:hint="eastAsia" w:ascii="仿宋" w:hAnsi="仿宋" w:eastAsia="仿宋" w:cstheme="majorBidi"/>
          <w:bCs/>
          <w:sz w:val="28"/>
          <w:szCs w:val="28"/>
        </w:rPr>
        <w:t>三、</w:t>
      </w:r>
      <w:r>
        <w:rPr>
          <w:rStyle w:val="18"/>
          <w:rFonts w:hint="eastAsia" w:ascii="仿宋" w:hAnsi="仿宋" w:eastAsia="仿宋"/>
          <w:sz w:val="28"/>
          <w:szCs w:val="28"/>
        </w:rPr>
        <w:t>支</w:t>
      </w:r>
      <w:r>
        <w:rPr>
          <w:rStyle w:val="18"/>
          <w:rFonts w:hint="eastAsia" w:ascii="仿宋" w:hAnsi="仿宋" w:eastAsia="仿宋" w:cstheme="majorBidi"/>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7</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18"/>
          <w:rFonts w:hint="eastAsia" w:ascii="仿宋" w:hAnsi="仿宋" w:eastAsia="仿宋"/>
          <w:sz w:val="28"/>
          <w:szCs w:val="28"/>
        </w:rPr>
        <w:t>四、财</w:t>
      </w:r>
      <w:r>
        <w:rPr>
          <w:rStyle w:val="18"/>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7</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"_Toc15396607" </w:instrText>
      </w:r>
      <w:r>
        <w:fldChar w:fldCharType="separate"/>
      </w:r>
      <w:r>
        <w:rPr>
          <w:rStyle w:val="18"/>
          <w:rFonts w:hint="eastAsia" w:ascii="仿宋" w:hAnsi="仿宋" w:eastAsia="仿宋"/>
          <w:sz w:val="28"/>
          <w:szCs w:val="28"/>
        </w:rPr>
        <w:t>五、一</w:t>
      </w:r>
      <w:r>
        <w:rPr>
          <w:rStyle w:val="18"/>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"_Toc15396608" </w:instrText>
      </w:r>
      <w:r>
        <w:fldChar w:fldCharType="separate"/>
      </w:r>
      <w:r>
        <w:rPr>
          <w:rStyle w:val="18"/>
          <w:rFonts w:hint="eastAsia" w:ascii="仿宋" w:hAnsi="仿宋" w:eastAsia="仿宋"/>
          <w:sz w:val="28"/>
          <w:szCs w:val="28"/>
        </w:rPr>
        <w:t>六、一</w:t>
      </w:r>
      <w:r>
        <w:rPr>
          <w:rStyle w:val="18"/>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13</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"_Toc15396609" </w:instrText>
      </w:r>
      <w:r>
        <w:fldChar w:fldCharType="separate"/>
      </w:r>
      <w:r>
        <w:rPr>
          <w:rStyle w:val="18"/>
          <w:rFonts w:hint="eastAsia" w:ascii="仿宋" w:hAnsi="仿宋" w:eastAsia="仿宋"/>
          <w:sz w:val="28"/>
          <w:szCs w:val="28"/>
        </w:rPr>
        <w:t>七、</w:t>
      </w:r>
      <w:r>
        <w:rPr>
          <w:rStyle w:val="18"/>
          <w:rFonts w:ascii="仿宋" w:hAnsi="仿宋" w:eastAsia="仿宋"/>
          <w:sz w:val="28"/>
          <w:szCs w:val="28"/>
        </w:rPr>
        <w:t>“</w:t>
      </w:r>
      <w:r>
        <w:rPr>
          <w:rStyle w:val="18"/>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13</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"_Toc15396610" </w:instrText>
      </w:r>
      <w:r>
        <w:fldChar w:fldCharType="separate"/>
      </w:r>
      <w:r>
        <w:rPr>
          <w:rStyle w:val="18"/>
          <w:rFonts w:hint="eastAsia" w:ascii="仿宋" w:hAnsi="仿宋" w:eastAsia="仿宋"/>
          <w:sz w:val="28"/>
          <w:szCs w:val="28"/>
        </w:rPr>
        <w:t>八、</w:t>
      </w:r>
      <w:r>
        <w:rPr>
          <w:rStyle w:val="18"/>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16</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fldChar w:fldCharType="begin"/>
      </w:r>
      <w:r>
        <w:instrText xml:space="preserve"> HYPERLINK \l "_Toc15396611" </w:instrText>
      </w:r>
      <w:r>
        <w:fldChar w:fldCharType="separate"/>
      </w:r>
      <w:r>
        <w:rPr>
          <w:rStyle w:val="18"/>
          <w:rFonts w:hint="eastAsia" w:ascii="仿宋" w:hAnsi="仿宋" w:eastAsia="仿宋" w:cstheme="majorBidi"/>
          <w:bCs/>
          <w:sz w:val="28"/>
          <w:szCs w:val="28"/>
        </w:rPr>
        <w:t>九、</w:t>
      </w:r>
      <w:r>
        <w:rPr>
          <w:rStyle w:val="18"/>
          <w:rFonts w:hint="eastAsia" w:ascii="仿宋" w:hAnsi="仿宋" w:eastAsia="仿宋"/>
          <w:sz w:val="28"/>
          <w:szCs w:val="28"/>
        </w:rPr>
        <w:t>国</w:t>
      </w:r>
      <w:r>
        <w:rPr>
          <w:rStyle w:val="18"/>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16</w:t>
      </w:r>
      <w:r>
        <w:rPr>
          <w:rFonts w:ascii="仿宋" w:hAnsi="仿宋" w:eastAsia="仿宋"/>
          <w:sz w:val="28"/>
          <w:szCs w:val="28"/>
        </w:rPr>
        <w:fldChar w:fldCharType="end"/>
      </w:r>
      <w:r>
        <w:rPr>
          <w:rFonts w:ascii="仿宋" w:hAnsi="仿宋" w:eastAsia="仿宋"/>
          <w:sz w:val="28"/>
          <w:szCs w:val="28"/>
        </w:rPr>
        <w:fldChar w:fldCharType="end"/>
      </w:r>
    </w:p>
    <w:p>
      <w:pPr>
        <w:pStyle w:val="11"/>
        <w:rPr>
          <w:rFonts w:hint="eastAsia" w:ascii="仿宋" w:hAnsi="仿宋" w:eastAsia="仿宋" w:cstheme="minorBidi"/>
          <w:sz w:val="28"/>
          <w:szCs w:val="28"/>
          <w:lang w:val="en-US" w:eastAsia="zh-CN"/>
        </w:rPr>
      </w:pPr>
      <w:r>
        <w:fldChar w:fldCharType="begin"/>
      </w:r>
      <w:r>
        <w:instrText xml:space="preserve"> HYPERLINK \l "_Toc15396605" </w:instrText>
      </w:r>
      <w:r>
        <w:fldChar w:fldCharType="separate"/>
      </w:r>
      <w:r>
        <w:rPr>
          <w:rStyle w:val="18"/>
          <w:rFonts w:hint="eastAsia" w:ascii="仿宋" w:hAnsi="仿宋" w:eastAsia="仿宋" w:cstheme="majorBidi"/>
          <w:bCs/>
          <w:sz w:val="28"/>
          <w:szCs w:val="28"/>
          <w:lang w:eastAsia="zh-CN"/>
        </w:rPr>
        <w:t>十</w:t>
      </w:r>
      <w:r>
        <w:rPr>
          <w:rStyle w:val="18"/>
          <w:rFonts w:hint="eastAsia" w:ascii="仿宋" w:hAnsi="仿宋" w:eastAsia="仿宋" w:cstheme="majorBidi"/>
          <w:bCs/>
          <w:sz w:val="28"/>
          <w:szCs w:val="28"/>
        </w:rPr>
        <w:t>、预算绩效情况说明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6</w:t>
      </w:r>
    </w:p>
    <w:p>
      <w:pPr>
        <w:pStyle w:val="11"/>
        <w:rPr>
          <w:rFonts w:ascii="仿宋" w:hAnsi="仿宋" w:eastAsia="仿宋" w:cstheme="minorBidi"/>
          <w:sz w:val="28"/>
          <w:szCs w:val="28"/>
        </w:rPr>
      </w:pPr>
      <w:r>
        <w:fldChar w:fldCharType="begin"/>
      </w:r>
      <w:r>
        <w:instrText xml:space="preserve"> HYPERLINK \l "_Toc15396612" </w:instrText>
      </w:r>
      <w:r>
        <w:fldChar w:fldCharType="separate"/>
      </w:r>
      <w:r>
        <w:rPr>
          <w:rStyle w:val="18"/>
          <w:rFonts w:hint="eastAsia" w:ascii="仿宋" w:hAnsi="仿宋" w:eastAsia="仿宋"/>
          <w:sz w:val="28"/>
          <w:szCs w:val="28"/>
        </w:rPr>
        <w:t>十</w:t>
      </w:r>
      <w:r>
        <w:rPr>
          <w:rStyle w:val="18"/>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lang w:val="en-US" w:eastAsia="zh-CN"/>
        </w:rPr>
        <w:t>6</w:t>
      </w:r>
      <w:r>
        <w:rPr>
          <w:rFonts w:ascii="仿宋" w:hAnsi="仿宋" w:eastAsia="仿宋"/>
          <w:sz w:val="28"/>
          <w:szCs w:val="28"/>
        </w:rPr>
        <w:fldChar w:fldCharType="end"/>
      </w:r>
      <w:r>
        <w:rPr>
          <w:rFonts w:ascii="仿宋" w:hAnsi="仿宋" w:eastAsia="仿宋"/>
          <w:sz w:val="28"/>
          <w:szCs w:val="28"/>
        </w:rPr>
        <w:fldChar w:fldCharType="end"/>
      </w:r>
    </w:p>
    <w:p>
      <w:pPr>
        <w:pStyle w:val="10"/>
        <w:rPr>
          <w:rFonts w:cstheme="minorBidi"/>
        </w:rPr>
      </w:pPr>
      <w:r>
        <w:fldChar w:fldCharType="begin"/>
      </w:r>
      <w:r>
        <w:instrText xml:space="preserve"> HYPERLINK \l "_Toc15396613" </w:instrText>
      </w:r>
      <w:r>
        <w:fldChar w:fldCharType="separate"/>
      </w:r>
      <w:r>
        <w:rPr>
          <w:rStyle w:val="18"/>
          <w:rFonts w:hint="eastAsia"/>
          <w:bCs/>
          <w:kern w:val="44"/>
        </w:rPr>
        <w:t>第三部分</w:t>
      </w:r>
      <w:r>
        <w:rPr>
          <w:rStyle w:val="18"/>
          <w:rFonts w:hint="eastAsia"/>
        </w:rPr>
        <w:t xml:space="preserve"> 名</w:t>
      </w:r>
      <w:r>
        <w:rPr>
          <w:rStyle w:val="18"/>
          <w:rFonts w:hint="eastAsia"/>
          <w:bCs/>
          <w:kern w:val="44"/>
        </w:rPr>
        <w:t>词解释</w:t>
      </w:r>
      <w:r>
        <w:tab/>
      </w:r>
      <w:r>
        <w:fldChar w:fldCharType="begin"/>
      </w:r>
      <w:r>
        <w:instrText xml:space="preserve"> PAGEREF _Toc15396613 \h </w:instrText>
      </w:r>
      <w:r>
        <w:fldChar w:fldCharType="separate"/>
      </w:r>
      <w:r>
        <w:t>2</w:t>
      </w:r>
      <w:r>
        <w:rPr>
          <w:rFonts w:hint="eastAsia"/>
          <w:lang w:val="en-US" w:eastAsia="zh-CN"/>
        </w:rPr>
        <w:t>8</w:t>
      </w:r>
      <w:r>
        <w:fldChar w:fldCharType="end"/>
      </w:r>
      <w:r>
        <w:fldChar w:fldCharType="end"/>
      </w:r>
    </w:p>
    <w:p>
      <w:pPr>
        <w:pStyle w:val="10"/>
        <w:rPr>
          <w:rFonts w:cstheme="minorBidi"/>
        </w:rPr>
      </w:pPr>
      <w:r>
        <w:fldChar w:fldCharType="begin"/>
      </w:r>
      <w:r>
        <w:instrText xml:space="preserve"> HYPERLINK \l "_Toc15396614" </w:instrText>
      </w:r>
      <w:r>
        <w:fldChar w:fldCharType="separate"/>
      </w:r>
      <w:r>
        <w:rPr>
          <w:rStyle w:val="18"/>
          <w:rFonts w:hint="eastAsia"/>
        </w:rPr>
        <w:t>第</w:t>
      </w:r>
      <w:r>
        <w:rPr>
          <w:rStyle w:val="18"/>
          <w:rFonts w:hint="eastAsia"/>
          <w:bCs/>
          <w:kern w:val="44"/>
        </w:rPr>
        <w:t>四部分</w:t>
      </w:r>
      <w:r>
        <w:rPr>
          <w:rStyle w:val="18"/>
          <w:bCs/>
          <w:kern w:val="44"/>
        </w:rPr>
        <w:t xml:space="preserve"> </w:t>
      </w:r>
      <w:r>
        <w:rPr>
          <w:rStyle w:val="18"/>
          <w:rFonts w:hint="eastAsia"/>
          <w:bCs/>
          <w:kern w:val="44"/>
        </w:rPr>
        <w:t>附件</w:t>
      </w:r>
      <w:r>
        <w:tab/>
      </w:r>
      <w:r>
        <w:fldChar w:fldCharType="begin"/>
      </w:r>
      <w:r>
        <w:instrText xml:space="preserve"> PAGEREF _Toc15396614 \h </w:instrText>
      </w:r>
      <w:r>
        <w:fldChar w:fldCharType="separate"/>
      </w:r>
      <w:r>
        <w:t>3</w:t>
      </w:r>
      <w:r>
        <w:rPr>
          <w:rFonts w:hint="eastAsia"/>
          <w:lang w:val="en-US" w:eastAsia="zh-CN"/>
        </w:rPr>
        <w:t>4</w:t>
      </w:r>
      <w:r>
        <w:fldChar w:fldCharType="end"/>
      </w:r>
      <w:r>
        <w:fldChar w:fldCharType="end"/>
      </w:r>
    </w:p>
    <w:p>
      <w:pPr>
        <w:pStyle w:val="11"/>
        <w:rPr>
          <w:rFonts w:ascii="仿宋" w:hAnsi="仿宋" w:eastAsia="仿宋" w:cstheme="minorBidi"/>
          <w:sz w:val="28"/>
          <w:szCs w:val="28"/>
        </w:rPr>
      </w:pPr>
      <w:r>
        <w:fldChar w:fldCharType="begin"/>
      </w:r>
      <w:r>
        <w:instrText xml:space="preserve"> HYPERLINK \l "_Toc15396615" </w:instrText>
      </w:r>
      <w:r>
        <w:fldChar w:fldCharType="separate"/>
      </w:r>
      <w:r>
        <w:rPr>
          <w:rStyle w:val="18"/>
          <w:rFonts w:hint="eastAsia" w:ascii="仿宋" w:hAnsi="仿宋" w:eastAsia="仿宋"/>
          <w:kern w:val="44"/>
          <w:sz w:val="28"/>
          <w:szCs w:val="28"/>
        </w:rPr>
        <w:t>附件</w:t>
      </w:r>
      <w:r>
        <w:rPr>
          <w:rStyle w:val="18"/>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3</w:t>
      </w:r>
      <w:r>
        <w:rPr>
          <w:rFonts w:hint="eastAsia" w:ascii="仿宋" w:hAnsi="仿宋" w:eastAsia="仿宋"/>
          <w:sz w:val="28"/>
          <w:szCs w:val="28"/>
          <w:lang w:val="en-US" w:eastAsia="zh-CN"/>
        </w:rPr>
        <w:t>4</w:t>
      </w:r>
      <w:r>
        <w:rPr>
          <w:rFonts w:ascii="仿宋" w:hAnsi="仿宋" w:eastAsia="仿宋"/>
          <w:sz w:val="28"/>
          <w:szCs w:val="28"/>
        </w:rPr>
        <w:fldChar w:fldCharType="end"/>
      </w:r>
      <w:r>
        <w:rPr>
          <w:rFonts w:ascii="仿宋" w:hAnsi="仿宋" w:eastAsia="仿宋"/>
          <w:sz w:val="28"/>
          <w:szCs w:val="28"/>
        </w:rPr>
        <w:fldChar w:fldCharType="end"/>
      </w:r>
    </w:p>
    <w:p>
      <w:pPr>
        <w:pStyle w:val="10"/>
        <w:rPr>
          <w:rFonts w:cstheme="minorBidi"/>
        </w:rPr>
      </w:pPr>
      <w:r>
        <w:fldChar w:fldCharType="begin"/>
      </w:r>
      <w:r>
        <w:instrText xml:space="preserve"> HYPERLINK \l "_Toc15396618" </w:instrText>
      </w:r>
      <w:r>
        <w:fldChar w:fldCharType="separate"/>
      </w:r>
      <w:r>
        <w:rPr>
          <w:rStyle w:val="18"/>
          <w:rFonts w:hint="eastAsia"/>
        </w:rPr>
        <w:t>第</w:t>
      </w:r>
      <w:r>
        <w:rPr>
          <w:rStyle w:val="18"/>
          <w:rFonts w:hint="eastAsia"/>
          <w:bCs/>
          <w:kern w:val="44"/>
        </w:rPr>
        <w:t>五部分</w:t>
      </w:r>
      <w:r>
        <w:rPr>
          <w:rStyle w:val="18"/>
          <w:bCs/>
          <w:kern w:val="44"/>
        </w:rPr>
        <w:t xml:space="preserve"> </w:t>
      </w:r>
      <w:r>
        <w:rPr>
          <w:rStyle w:val="18"/>
          <w:rFonts w:hint="eastAsia"/>
          <w:bCs/>
          <w:kern w:val="44"/>
        </w:rPr>
        <w:t>附表</w:t>
      </w:r>
      <w:r>
        <w:tab/>
      </w:r>
      <w:r>
        <w:fldChar w:fldCharType="begin"/>
      </w:r>
      <w:r>
        <w:instrText xml:space="preserve"> PAGEREF _Toc15396618 \h </w:instrText>
      </w:r>
      <w:r>
        <w:fldChar w:fldCharType="separate"/>
      </w:r>
      <w:r>
        <w:t>38</w:t>
      </w:r>
      <w:r>
        <w:fldChar w:fldCharType="end"/>
      </w:r>
      <w:r>
        <w:fldChar w:fldCharType="end"/>
      </w:r>
    </w:p>
    <w:p>
      <w:pPr>
        <w:pStyle w:val="11"/>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8"/>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38</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8"/>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38</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8"/>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38</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8"/>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38</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38</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8"/>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38</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8"/>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38</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8"/>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38</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8"/>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38</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8"/>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38</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8"/>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38</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8"/>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38</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8"/>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38</w:t>
      </w:r>
      <w:r>
        <w:rPr>
          <w:rFonts w:ascii="仿宋" w:hAnsi="仿宋" w:eastAsia="仿宋"/>
          <w:sz w:val="28"/>
          <w:szCs w:val="28"/>
        </w:rPr>
        <w:fldChar w:fldCharType="end"/>
      </w:r>
      <w:r>
        <w:rPr>
          <w:rFonts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96599"/>
      <w:bookmarkStart w:id="13" w:name="_Toc15377196"/>
      <w:r>
        <w:rPr>
          <w:rFonts w:ascii="黑体" w:hAnsi="黑体" w:eastAsia="黑体"/>
          <w:b/>
        </w:rPr>
        <w:br w:type="page"/>
      </w:r>
    </w:p>
    <w:p>
      <w:pPr>
        <w:pStyle w:val="2"/>
        <w:jc w:val="center"/>
        <w:rPr>
          <w:rStyle w:val="27"/>
          <w:rFonts w:ascii="黑体" w:hAnsi="黑体" w:eastAsia="黑体"/>
          <w:b/>
          <w:bCs w:val="0"/>
        </w:rPr>
      </w:pPr>
      <w:r>
        <w:rPr>
          <w:rFonts w:hint="eastAsia" w:ascii="黑体" w:hAnsi="黑体" w:eastAsia="黑体"/>
          <w:b w:val="0"/>
        </w:rPr>
        <w:t xml:space="preserve">第一部分 </w:t>
      </w:r>
      <w:r>
        <w:rPr>
          <w:rStyle w:val="27"/>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28"/>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4"/>
      <w:bookmarkEnd w:id="15"/>
    </w:p>
    <w:p>
      <w:pPr>
        <w:pStyle w:val="5"/>
        <w:adjustRightInd w:val="0"/>
        <w:snapToGrid w:val="0"/>
        <w:spacing w:before="93" w:line="600" w:lineRule="exact"/>
        <w:ind w:firstLine="672" w:firstLineChars="210"/>
        <w:outlineLvl w:val="2"/>
        <w:rPr>
          <w:rFonts w:hint="eastAsia" w:ascii="仿宋" w:hAnsi="仿宋" w:eastAsia="仿宋" w:cs="Times New Roman"/>
          <w:color w:val="000000"/>
          <w:kern w:val="2"/>
          <w:sz w:val="32"/>
          <w:szCs w:val="32"/>
          <w:lang w:val="en-US" w:eastAsia="zh-CN" w:bidi="ar-SA"/>
        </w:rPr>
      </w:pPr>
      <w:bookmarkStart w:id="16" w:name="_Toc15377198"/>
      <w:bookmarkStart w:id="17" w:name="_Toc15378445"/>
      <w:bookmarkStart w:id="18" w:name="_Toc15377199"/>
      <w:bookmarkStart w:id="19" w:name="_Toc15378446"/>
      <w:r>
        <w:rPr>
          <w:rFonts w:hint="eastAsia" w:ascii="仿宋" w:hAnsi="仿宋" w:eastAsia="仿宋" w:cs="Times New Roman"/>
          <w:color w:val="000000"/>
          <w:kern w:val="2"/>
          <w:sz w:val="32"/>
          <w:szCs w:val="32"/>
          <w:lang w:val="en-US" w:eastAsia="zh-CN" w:bidi="ar-SA"/>
        </w:rPr>
        <w:t>（一）主要职能</w:t>
      </w:r>
      <w:bookmarkEnd w:id="16"/>
      <w:bookmarkEnd w:id="17"/>
    </w:p>
    <w:p>
      <w:pPr>
        <w:spacing w:line="360" w:lineRule="auto"/>
        <w:ind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乐山职业技术学院的基本职能是</w:t>
      </w:r>
      <w:r>
        <w:rPr>
          <w:rFonts w:hint="eastAsia" w:ascii="仿宋" w:hAnsi="仿宋" w:eastAsia="仿宋" w:cs="仿宋_GB2312"/>
          <w:sz w:val="32"/>
          <w:szCs w:val="32"/>
          <w:lang w:val="en-US" w:eastAsia="zh-CN"/>
        </w:rPr>
        <w:t>人才培养、科学研究、社会服务、文化传承与创新。</w:t>
      </w:r>
    </w:p>
    <w:p>
      <w:pPr>
        <w:pStyle w:val="5"/>
        <w:adjustRightInd w:val="0"/>
        <w:snapToGrid w:val="0"/>
        <w:spacing w:before="93" w:line="600" w:lineRule="exact"/>
        <w:ind w:firstLine="672" w:firstLineChars="210"/>
        <w:outlineLvl w:val="2"/>
        <w:rPr>
          <w:rFonts w:hint="eastAsia" w:ascii="仿宋" w:hAnsi="仿宋" w:eastAsia="仿宋"/>
          <w:bCs/>
          <w:color w:val="auto"/>
          <w:sz w:val="32"/>
          <w:szCs w:val="32"/>
        </w:rPr>
      </w:pPr>
      <w:r>
        <w:rPr>
          <w:rFonts w:hint="eastAsia" w:ascii="仿宋" w:hAnsi="仿宋" w:eastAsia="仿宋"/>
          <w:bCs/>
          <w:color w:val="auto"/>
          <w:sz w:val="32"/>
          <w:szCs w:val="32"/>
        </w:rPr>
        <w:t>（二）</w:t>
      </w:r>
      <w:r>
        <w:rPr>
          <w:rFonts w:ascii="仿宋" w:hAnsi="仿宋" w:eastAsia="仿宋"/>
          <w:bCs/>
          <w:color w:val="auto"/>
          <w:sz w:val="32"/>
          <w:szCs w:val="32"/>
        </w:rPr>
        <w:t>201</w:t>
      </w:r>
      <w:r>
        <w:rPr>
          <w:rFonts w:hint="eastAsia" w:ascii="仿宋" w:hAnsi="仿宋" w:eastAsia="仿宋"/>
          <w:bCs/>
          <w:color w:val="auto"/>
          <w:sz w:val="32"/>
          <w:szCs w:val="32"/>
          <w:lang w:val="en-US" w:eastAsia="zh-CN"/>
        </w:rPr>
        <w:t>9</w:t>
      </w:r>
      <w:r>
        <w:rPr>
          <w:rFonts w:hint="eastAsia" w:ascii="仿宋" w:hAnsi="仿宋" w:eastAsia="仿宋"/>
          <w:bCs/>
          <w:color w:val="auto"/>
          <w:sz w:val="32"/>
          <w:szCs w:val="32"/>
        </w:rPr>
        <w:t>年重点工作完成情况</w:t>
      </w:r>
      <w:bookmarkEnd w:id="18"/>
      <w:bookmarkEnd w:id="19"/>
    </w:p>
    <w:p>
      <w:pPr>
        <w:spacing w:line="360" w:lineRule="auto"/>
        <w:ind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2019年学院党政工作的主要任务：全面深化改革，提升内涵发展；健全运行机制，建设现代大学；完善教学管理，提升教学质量；落实立德树人，提高培养质量；创新人才发展，建设高水平师资；坚持“实用”科研，促进科技创新；深化国际合作交流，服务对外开放大局；紧跟招生改革步伐，提升“双创”工作；加强继续教育工作，提升区域影响力；持续推进校园建设，构建绿色智慧校园；高效整合资源配置，深化产教融合发展。</w:t>
      </w:r>
    </w:p>
    <w:p>
      <w:pPr>
        <w:pStyle w:val="3"/>
        <w:rPr>
          <w:rStyle w:val="28"/>
          <w:b w:val="0"/>
          <w:bCs w:val="0"/>
        </w:rPr>
      </w:pPr>
      <w:bookmarkStart w:id="20" w:name="_Toc15396601"/>
      <w:bookmarkStart w:id="21" w:name="_Toc15377200"/>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20"/>
      <w:bookmarkEnd w:id="21"/>
    </w:p>
    <w:p>
      <w:pPr>
        <w:ind w:firstLine="800" w:firstLineChars="250"/>
        <w:rPr>
          <w:rFonts w:ascii="仿宋" w:hAnsi="仿宋" w:eastAsia="仿宋"/>
          <w:sz w:val="32"/>
          <w:szCs w:val="32"/>
        </w:rPr>
      </w:pPr>
      <w:r>
        <w:rPr>
          <w:rFonts w:hint="eastAsia" w:ascii="仿宋" w:hAnsi="仿宋" w:eastAsia="仿宋"/>
          <w:sz w:val="32"/>
          <w:szCs w:val="32"/>
          <w:lang w:eastAsia="zh-CN"/>
        </w:rPr>
        <w:t>乐山职业技术学院</w:t>
      </w:r>
      <w:r>
        <w:rPr>
          <w:rFonts w:hint="eastAsia" w:ascii="仿宋" w:hAnsi="仿宋" w:eastAsia="仿宋"/>
          <w:sz w:val="32"/>
          <w:szCs w:val="32"/>
        </w:rPr>
        <w:t>下属二级单位</w:t>
      </w:r>
      <w:r>
        <w:rPr>
          <w:rFonts w:hint="eastAsia" w:ascii="仿宋" w:hAnsi="仿宋" w:eastAsia="仿宋"/>
          <w:sz w:val="32"/>
          <w:szCs w:val="32"/>
          <w:lang w:val="en-US" w:eastAsia="zh-CN"/>
        </w:rPr>
        <w:t>2</w:t>
      </w:r>
      <w:r>
        <w:rPr>
          <w:rFonts w:hint="eastAsia" w:ascii="仿宋" w:hAnsi="仿宋" w:eastAsia="仿宋"/>
          <w:sz w:val="32"/>
          <w:szCs w:val="32"/>
        </w:rPr>
        <w:t>个，其中其他事业单位</w:t>
      </w:r>
      <w:r>
        <w:rPr>
          <w:rFonts w:hint="eastAsia" w:ascii="仿宋" w:hAnsi="仿宋" w:eastAsia="仿宋"/>
          <w:sz w:val="32"/>
          <w:szCs w:val="32"/>
          <w:lang w:val="en-US" w:eastAsia="zh-CN"/>
        </w:rPr>
        <w:t>2</w:t>
      </w:r>
      <w:r>
        <w:rPr>
          <w:rFonts w:hint="eastAsia" w:ascii="仿宋" w:hAnsi="仿宋" w:eastAsia="仿宋"/>
          <w:sz w:val="32"/>
          <w:szCs w:val="32"/>
        </w:rPr>
        <w:t>个。</w:t>
      </w:r>
    </w:p>
    <w:p>
      <w:pPr>
        <w:pStyle w:val="5"/>
        <w:adjustRightInd w:val="0"/>
        <w:snapToGrid w:val="0"/>
        <w:spacing w:before="93" w:line="600" w:lineRule="exact"/>
        <w:ind w:firstLine="672" w:firstLineChars="210"/>
        <w:rPr>
          <w:rFonts w:ascii="仿宋" w:hAnsi="仿宋" w:eastAsia="仿宋"/>
          <w:color w:val="000000"/>
          <w:sz w:val="32"/>
          <w:szCs w:val="32"/>
        </w:rPr>
      </w:pPr>
      <w:r>
        <w:rPr>
          <w:rFonts w:hint="eastAsia" w:ascii="仿宋" w:hAnsi="仿宋" w:eastAsia="仿宋"/>
          <w:color w:val="000000"/>
          <w:sz w:val="32"/>
          <w:szCs w:val="32"/>
        </w:rPr>
        <w:t>纳入</w:t>
      </w:r>
      <w:r>
        <w:rPr>
          <w:rFonts w:hint="eastAsia" w:ascii="仿宋" w:hAnsi="仿宋" w:eastAsia="仿宋"/>
          <w:color w:val="000000"/>
          <w:sz w:val="32"/>
          <w:szCs w:val="32"/>
          <w:lang w:eastAsia="zh-CN"/>
        </w:rPr>
        <w:t>乐山职业技术学院</w:t>
      </w: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年度部门决算编制范围的二级预算单位包括：</w:t>
      </w:r>
    </w:p>
    <w:p>
      <w:pPr>
        <w:pStyle w:val="5"/>
        <w:numPr>
          <w:ilvl w:val="0"/>
          <w:numId w:val="1"/>
        </w:numPr>
        <w:adjustRightInd w:val="0"/>
        <w:snapToGrid w:val="0"/>
        <w:spacing w:before="93" w:line="600" w:lineRule="exact"/>
        <w:outlineLvl w:val="2"/>
        <w:rPr>
          <w:rFonts w:ascii="仿宋" w:hAnsi="仿宋" w:eastAsia="仿宋"/>
          <w:color w:val="000000"/>
          <w:sz w:val="32"/>
          <w:szCs w:val="32"/>
        </w:rPr>
      </w:pPr>
      <w:bookmarkStart w:id="22" w:name="_Toc15377202"/>
      <w:bookmarkStart w:id="23" w:name="_Toc15306276"/>
      <w:bookmarkStart w:id="24" w:name="_Toc15378449"/>
      <w:bookmarkStart w:id="25" w:name="_Toc15377433"/>
      <w:r>
        <w:rPr>
          <w:rFonts w:hint="eastAsia" w:ascii="仿宋" w:hAnsi="仿宋" w:eastAsia="仿宋"/>
          <w:sz w:val="32"/>
          <w:szCs w:val="32"/>
        </w:rPr>
        <w:t>乐山职业技术学院附属医院</w:t>
      </w:r>
      <w:bookmarkEnd w:id="22"/>
      <w:bookmarkEnd w:id="23"/>
      <w:bookmarkEnd w:id="24"/>
      <w:bookmarkEnd w:id="25"/>
    </w:p>
    <w:p>
      <w:pPr>
        <w:pStyle w:val="5"/>
        <w:numPr>
          <w:ilvl w:val="0"/>
          <w:numId w:val="1"/>
        </w:numPr>
        <w:adjustRightInd w:val="0"/>
        <w:snapToGrid w:val="0"/>
        <w:spacing w:before="93" w:line="600" w:lineRule="exact"/>
        <w:outlineLvl w:val="2"/>
        <w:rPr>
          <w:rFonts w:ascii="仿宋" w:hAnsi="仿宋" w:eastAsia="仿宋"/>
          <w:color w:val="000000"/>
          <w:sz w:val="32"/>
          <w:szCs w:val="32"/>
        </w:rPr>
      </w:pPr>
      <w:r>
        <w:rPr>
          <w:rFonts w:hint="eastAsia" w:ascii="仿宋" w:hAnsi="仿宋" w:eastAsia="仿宋"/>
          <w:color w:val="000000"/>
          <w:sz w:val="32"/>
          <w:szCs w:val="32"/>
          <w:lang w:eastAsia="zh-CN"/>
        </w:rPr>
        <w:t>四川省乐山市奥林匹克学校</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7"/>
          <w:rFonts w:ascii="黑体" w:hAnsi="黑体" w:eastAsia="黑体"/>
          <w:b w:val="0"/>
          <w:bCs w:val="0"/>
        </w:rPr>
      </w:pPr>
      <w:bookmarkStart w:id="26" w:name="_Toc15396602"/>
      <w:bookmarkStart w:id="27"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7"/>
          <w:rFonts w:hint="eastAsia" w:ascii="黑体" w:hAnsi="黑体" w:eastAsia="黑体"/>
          <w:b w:val="0"/>
          <w:bCs w:val="0"/>
        </w:rPr>
        <w:t>201</w:t>
      </w:r>
      <w:r>
        <w:rPr>
          <w:rStyle w:val="27"/>
          <w:rFonts w:hint="eastAsia" w:ascii="黑体" w:hAnsi="黑体" w:eastAsia="黑体"/>
          <w:b w:val="0"/>
          <w:bCs w:val="0"/>
          <w:lang w:val="en-US" w:eastAsia="zh-CN"/>
        </w:rPr>
        <w:t>9</w:t>
      </w:r>
      <w:r>
        <w:rPr>
          <w:rStyle w:val="27"/>
          <w:rFonts w:hint="eastAsia" w:ascii="黑体" w:hAnsi="黑体" w:eastAsia="黑体"/>
          <w:b w:val="0"/>
          <w:bCs w:val="0"/>
        </w:rPr>
        <w:t>年度部门决算情况说明</w:t>
      </w:r>
      <w:bookmarkEnd w:id="26"/>
      <w:bookmarkEnd w:id="27"/>
    </w:p>
    <w:p/>
    <w:p>
      <w:pPr>
        <w:pStyle w:val="26"/>
        <w:numPr>
          <w:ilvl w:val="0"/>
          <w:numId w:val="2"/>
        </w:numPr>
        <w:spacing w:line="600" w:lineRule="exact"/>
        <w:ind w:firstLineChars="0"/>
        <w:outlineLvl w:val="1"/>
        <w:rPr>
          <w:rStyle w:val="28"/>
          <w:rFonts w:ascii="黑体" w:hAnsi="黑体" w:eastAsia="黑体"/>
          <w:b w:val="0"/>
        </w:rPr>
      </w:pPr>
      <w:bookmarkStart w:id="28" w:name="_Toc15377205"/>
      <w:bookmarkStart w:id="29" w:name="_Toc15396603"/>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28"/>
      <w:bookmarkEnd w:id="29"/>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40578.02</w:t>
      </w:r>
      <w:r>
        <w:rPr>
          <w:rFonts w:hint="eastAsia" w:ascii="仿宋" w:hAnsi="仿宋" w:eastAsia="仿宋"/>
          <w:color w:val="000000"/>
          <w:sz w:val="32"/>
          <w:szCs w:val="32"/>
        </w:rPr>
        <w:t>万元。与201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年相比，收、支总计各减少</w:t>
      </w:r>
      <w:r>
        <w:rPr>
          <w:rFonts w:hint="eastAsia" w:ascii="仿宋" w:hAnsi="仿宋" w:eastAsia="仿宋"/>
          <w:color w:val="000000"/>
          <w:sz w:val="32"/>
          <w:szCs w:val="32"/>
          <w:lang w:val="en-US" w:eastAsia="zh-CN"/>
        </w:rPr>
        <w:t>6852.63</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14.44</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2018年</w:t>
      </w:r>
      <w:r>
        <w:rPr>
          <w:rFonts w:hint="eastAsia" w:ascii="仿宋" w:hAnsi="仿宋" w:eastAsia="仿宋"/>
          <w:color w:val="000000"/>
          <w:sz w:val="32"/>
          <w:szCs w:val="32"/>
        </w:rPr>
        <w:t>增加财政拨款用于支付新校园建设土地款</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2019</w:t>
      </w:r>
      <w:r>
        <w:rPr>
          <w:rFonts w:hint="eastAsia" w:ascii="仿宋" w:hAnsi="仿宋" w:eastAsia="仿宋"/>
          <w:color w:val="000000"/>
          <w:sz w:val="32"/>
          <w:szCs w:val="32"/>
        </w:rPr>
        <w:t>年初财政拨款结转数额较大</w:t>
      </w:r>
      <w:r>
        <w:rPr>
          <w:rFonts w:hint="eastAsia" w:ascii="仿宋" w:hAnsi="仿宋" w:eastAsia="仿宋"/>
          <w:color w:val="000000"/>
          <w:sz w:val="32"/>
          <w:szCs w:val="32"/>
          <w:lang w:eastAsia="zh-CN"/>
        </w:rPr>
        <w:t>。</w:t>
      </w:r>
    </w:p>
    <w:p>
      <w:pPr>
        <w:keepNext w:val="0"/>
        <w:keepLines w:val="0"/>
        <w:widowControl/>
        <w:suppressLineNumbers w:val="0"/>
        <w:jc w:val="center"/>
      </w:pPr>
      <w:r>
        <w:rPr>
          <w:rFonts w:ascii="宋体" w:hAnsi="宋体" w:eastAsia="宋体" w:cs="宋体"/>
          <w:kern w:val="0"/>
          <w:sz w:val="24"/>
          <w:szCs w:val="24"/>
          <w:lang w:val="en-US" w:eastAsia="zh-CN" w:bidi="ar"/>
        </w:rPr>
        <w:drawing>
          <wp:inline distT="0" distB="0" distL="114300" distR="114300">
            <wp:extent cx="3865245" cy="2141220"/>
            <wp:effectExtent l="0" t="0" r="1905" b="11430"/>
            <wp:docPr id="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IMG_256"/>
                    <pic:cNvPicPr>
                      <a:picLocks noChangeAspect="1"/>
                    </pic:cNvPicPr>
                  </pic:nvPicPr>
                  <pic:blipFill>
                    <a:blip r:embed="rId6"/>
                    <a:stretch>
                      <a:fillRect/>
                    </a:stretch>
                  </pic:blipFill>
                  <pic:spPr>
                    <a:xfrm>
                      <a:off x="0" y="0"/>
                      <a:ext cx="3865245" cy="2141220"/>
                    </a:xfrm>
                    <a:prstGeom prst="rect">
                      <a:avLst/>
                    </a:prstGeom>
                    <a:noFill/>
                    <a:ln w="9525">
                      <a:noFill/>
                    </a:ln>
                  </pic:spPr>
                </pic:pic>
              </a:graphicData>
            </a:graphic>
          </wp:inline>
        </w:drawing>
      </w:r>
      <w:bookmarkStart w:id="80" w:name="_GoBack"/>
      <w:bookmarkEnd w:id="80"/>
    </w:p>
    <w:p>
      <w:pPr>
        <w:spacing w:line="600" w:lineRule="exact"/>
        <w:jc w:val="center"/>
        <w:rPr>
          <w:rFonts w:ascii="仿宋" w:hAnsi="仿宋" w:eastAsia="仿宋"/>
          <w:color w:val="000000" w:themeColor="text1"/>
          <w:sz w:val="32"/>
          <w:szCs w:val="32"/>
          <w:highlight w:val="none"/>
          <w14:textFill>
            <w14:solidFill>
              <w14:schemeClr w14:val="tx1"/>
            </w14:solidFill>
          </w14:textFill>
        </w:rPr>
      </w:pPr>
      <w:r>
        <w:rPr>
          <w:rFonts w:hint="eastAsia" w:ascii="仿宋" w:hAnsi="仿宋" w:eastAsia="仿宋"/>
          <w:color w:val="000000" w:themeColor="text1"/>
          <w:sz w:val="32"/>
          <w:szCs w:val="32"/>
          <w:highlight w:val="none"/>
          <w14:textFill>
            <w14:solidFill>
              <w14:schemeClr w14:val="tx1"/>
            </w14:solidFill>
          </w14:textFill>
        </w:rPr>
        <w:t>图</w:t>
      </w:r>
      <w:r>
        <w:rPr>
          <w:rFonts w:ascii="仿宋" w:hAnsi="仿宋" w:eastAsia="仿宋"/>
          <w:color w:val="000000" w:themeColor="text1"/>
          <w:sz w:val="32"/>
          <w:szCs w:val="32"/>
          <w:highlight w:val="none"/>
          <w14:textFill>
            <w14:solidFill>
              <w14:schemeClr w14:val="tx1"/>
            </w14:solidFill>
          </w14:textFill>
        </w:rPr>
        <w:t>1</w:t>
      </w:r>
      <w:r>
        <w:rPr>
          <w:rFonts w:hint="eastAsia" w:ascii="仿宋" w:hAnsi="仿宋" w:eastAsia="仿宋"/>
          <w:color w:val="000000" w:themeColor="text1"/>
          <w:sz w:val="32"/>
          <w:szCs w:val="32"/>
          <w:highlight w:val="none"/>
          <w14:textFill>
            <w14:solidFill>
              <w14:schemeClr w14:val="tx1"/>
            </w14:solidFill>
          </w14:textFill>
        </w:rPr>
        <w:t>：收、支决算总计变动情况图</w:t>
      </w:r>
    </w:p>
    <w:p>
      <w:pPr>
        <w:pStyle w:val="26"/>
        <w:numPr>
          <w:ilvl w:val="0"/>
          <w:numId w:val="2"/>
        </w:numPr>
        <w:spacing w:line="600" w:lineRule="exact"/>
        <w:ind w:firstLineChars="0"/>
        <w:outlineLvl w:val="1"/>
        <w:rPr>
          <w:rStyle w:val="28"/>
          <w:rFonts w:ascii="黑体" w:hAnsi="黑体" w:eastAsia="黑体"/>
          <w:b w:val="0"/>
        </w:rPr>
      </w:pPr>
      <w:bookmarkStart w:id="30" w:name="_Toc15396604"/>
      <w:bookmarkStart w:id="31" w:name="_Toc15377206"/>
      <w:r>
        <w:rPr>
          <w:rFonts w:hint="eastAsia" w:ascii="黑体" w:hAnsi="黑体" w:eastAsia="黑体"/>
          <w:color w:val="000000"/>
          <w:sz w:val="32"/>
          <w:szCs w:val="32"/>
        </w:rPr>
        <w:t>收</w:t>
      </w:r>
      <w:r>
        <w:rPr>
          <w:rStyle w:val="28"/>
          <w:rFonts w:hint="eastAsia" w:ascii="黑体" w:hAnsi="黑体" w:eastAsia="黑体"/>
          <w:b w:val="0"/>
        </w:rPr>
        <w:t>入决算情况说明</w:t>
      </w:r>
      <w:bookmarkEnd w:id="30"/>
      <w:bookmarkEnd w:id="31"/>
    </w:p>
    <w:p>
      <w:pPr>
        <w:spacing w:line="600" w:lineRule="exact"/>
        <w:ind w:firstLine="640" w:firstLineChars="200"/>
        <w:outlineLvl w:val="1"/>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34367</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22021.85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64.08</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1895.05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5.51</w:t>
      </w:r>
      <w:r>
        <w:rPr>
          <w:rFonts w:ascii="仿宋" w:hAnsi="仿宋" w:eastAsia="仿宋"/>
          <w:color w:val="000000"/>
          <w:sz w:val="32"/>
          <w:szCs w:val="32"/>
        </w:rPr>
        <w:t>%</w:t>
      </w:r>
      <w:r>
        <w:rPr>
          <w:rFonts w:hint="eastAsia" w:ascii="仿宋" w:hAnsi="仿宋" w:eastAsia="仿宋"/>
          <w:color w:val="000000"/>
          <w:sz w:val="32"/>
          <w:szCs w:val="32"/>
        </w:rPr>
        <w:t>；国有资本经营预算财政拨款收</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9527.84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27.72</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922.26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2.69</w:t>
      </w:r>
      <w:r>
        <w:rPr>
          <w:rFonts w:ascii="仿宋" w:hAnsi="仿宋" w:eastAsia="仿宋"/>
          <w:color w:val="000000"/>
          <w:sz w:val="32"/>
          <w:szCs w:val="32"/>
        </w:rPr>
        <w:t>%</w:t>
      </w:r>
      <w:r>
        <w:rPr>
          <w:rFonts w:hint="eastAsia" w:ascii="仿宋" w:hAnsi="仿宋" w:eastAsia="仿宋"/>
          <w:color w:val="000000"/>
          <w:sz w:val="32"/>
          <w:szCs w:val="32"/>
        </w:rPr>
        <w:t>。</w:t>
      </w:r>
    </w:p>
    <w:p>
      <w:pPr>
        <w:keepNext w:val="0"/>
        <w:keepLines w:val="0"/>
        <w:widowControl/>
        <w:suppressLineNumbers w:val="0"/>
        <w:jc w:val="center"/>
      </w:pPr>
      <w:r>
        <w:rPr>
          <w:rFonts w:hint="eastAsia" w:ascii="宋体" w:hAnsi="宋体" w:cs="宋体"/>
          <w:kern w:val="0"/>
          <w:sz w:val="24"/>
          <w:szCs w:val="24"/>
          <w:lang w:val="en-US" w:eastAsia="zh-CN" w:bidi="ar"/>
        </w:rPr>
        <w:t xml:space="preserve">      </w:t>
      </w:r>
      <w:r>
        <w:rPr>
          <w:rFonts w:ascii="宋体" w:hAnsi="宋体" w:eastAsia="宋体" w:cs="宋体"/>
          <w:kern w:val="0"/>
          <w:sz w:val="24"/>
          <w:szCs w:val="24"/>
          <w:lang w:val="en-US" w:eastAsia="zh-CN" w:bidi="ar"/>
        </w:rPr>
        <w:drawing>
          <wp:inline distT="0" distB="0" distL="114300" distR="114300">
            <wp:extent cx="4090670" cy="2278380"/>
            <wp:effectExtent l="0" t="0" r="5080" b="7620"/>
            <wp:docPr id="6"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IMG_256"/>
                    <pic:cNvPicPr>
                      <a:picLocks noChangeAspect="1"/>
                    </pic:cNvPicPr>
                  </pic:nvPicPr>
                  <pic:blipFill>
                    <a:blip r:embed="rId7"/>
                    <a:stretch>
                      <a:fillRect/>
                    </a:stretch>
                  </pic:blipFill>
                  <pic:spPr>
                    <a:xfrm>
                      <a:off x="0" y="0"/>
                      <a:ext cx="4090670" cy="2278380"/>
                    </a:xfrm>
                    <a:prstGeom prst="rect">
                      <a:avLst/>
                    </a:prstGeom>
                    <a:noFill/>
                    <a:ln w="9525">
                      <a:noFill/>
                    </a:ln>
                  </pic:spPr>
                </pic:pic>
              </a:graphicData>
            </a:graphic>
          </wp:inline>
        </w:drawing>
      </w:r>
    </w:p>
    <w:p>
      <w:pPr>
        <w:spacing w:line="600" w:lineRule="exact"/>
        <w:ind w:firstLine="640" w:firstLineChars="200"/>
        <w:jc w:val="center"/>
        <w:rPr>
          <w:rFonts w:ascii="仿宋" w:hAnsi="仿宋" w:eastAsia="仿宋"/>
          <w:color w:val="000000" w:themeColor="text1"/>
          <w:sz w:val="32"/>
          <w:szCs w:val="32"/>
          <w:highlight w:val="none"/>
          <w14:textFill>
            <w14:solidFill>
              <w14:schemeClr w14:val="tx1"/>
            </w14:solidFill>
          </w14:textFill>
        </w:rPr>
      </w:pPr>
      <w:r>
        <w:rPr>
          <w:rFonts w:hint="eastAsia" w:ascii="仿宋" w:hAnsi="仿宋" w:eastAsia="仿宋"/>
          <w:color w:val="000000" w:themeColor="text1"/>
          <w:sz w:val="32"/>
          <w:szCs w:val="32"/>
          <w:highlight w:val="none"/>
          <w14:textFill>
            <w14:solidFill>
              <w14:schemeClr w14:val="tx1"/>
            </w14:solidFill>
          </w14:textFill>
        </w:rPr>
        <w:t>图2：收入决算结构图</w:t>
      </w:r>
    </w:p>
    <w:p>
      <w:pPr>
        <w:pStyle w:val="26"/>
        <w:numPr>
          <w:ilvl w:val="0"/>
          <w:numId w:val="2"/>
        </w:numPr>
        <w:spacing w:line="600" w:lineRule="exact"/>
        <w:ind w:firstLineChars="0"/>
        <w:outlineLvl w:val="1"/>
        <w:rPr>
          <w:rStyle w:val="28"/>
          <w:rFonts w:ascii="黑体" w:hAnsi="黑体" w:eastAsia="黑体"/>
          <w:b w:val="0"/>
        </w:rPr>
      </w:pPr>
      <w:bookmarkStart w:id="32" w:name="_Toc15396605"/>
      <w:bookmarkStart w:id="33" w:name="_Toc15377207"/>
      <w:r>
        <w:rPr>
          <w:rFonts w:hint="eastAsia" w:ascii="黑体" w:hAnsi="黑体" w:eastAsia="黑体"/>
          <w:color w:val="000000"/>
          <w:sz w:val="32"/>
          <w:szCs w:val="32"/>
        </w:rPr>
        <w:t>支</w:t>
      </w:r>
      <w:r>
        <w:rPr>
          <w:rStyle w:val="28"/>
          <w:rFonts w:hint="eastAsia" w:ascii="黑体" w:hAnsi="黑体" w:eastAsia="黑体"/>
          <w:b w:val="0"/>
        </w:rPr>
        <w:t>出决算情况说明</w:t>
      </w:r>
      <w:bookmarkEnd w:id="32"/>
      <w:bookmarkEnd w:id="33"/>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年本年支出合计37425.01万元，其中：基本支出11483.98万元，占</w:t>
      </w:r>
      <w:r>
        <w:rPr>
          <w:rFonts w:hint="eastAsia" w:ascii="仿宋" w:hAnsi="仿宋" w:eastAsia="仿宋"/>
          <w:color w:val="000000"/>
          <w:sz w:val="32"/>
          <w:szCs w:val="32"/>
          <w:lang w:val="en-US" w:eastAsia="zh-CN"/>
        </w:rPr>
        <w:t>30.68</w:t>
      </w:r>
      <w:r>
        <w:rPr>
          <w:rFonts w:ascii="仿宋" w:hAnsi="仿宋" w:eastAsia="仿宋"/>
          <w:color w:val="000000"/>
          <w:sz w:val="32"/>
          <w:szCs w:val="32"/>
        </w:rPr>
        <w:t>%</w:t>
      </w:r>
      <w:r>
        <w:rPr>
          <w:rFonts w:hint="eastAsia" w:ascii="仿宋" w:hAnsi="仿宋" w:eastAsia="仿宋"/>
          <w:color w:val="000000"/>
          <w:sz w:val="32"/>
          <w:szCs w:val="32"/>
        </w:rPr>
        <w:t>；项目支出25941.03万元，占</w:t>
      </w:r>
      <w:r>
        <w:rPr>
          <w:rFonts w:hint="eastAsia" w:ascii="仿宋" w:hAnsi="仿宋" w:eastAsia="仿宋"/>
          <w:color w:val="000000"/>
          <w:sz w:val="32"/>
          <w:szCs w:val="32"/>
          <w:lang w:val="en-US" w:eastAsia="zh-CN"/>
        </w:rPr>
        <w:t>69.32</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keepNext w:val="0"/>
        <w:keepLines w:val="0"/>
        <w:widowControl/>
        <w:suppressLineNumbers w:val="0"/>
        <w:jc w:val="center"/>
      </w:pPr>
      <w:r>
        <w:rPr>
          <w:rFonts w:hint="eastAsia" w:ascii="宋体" w:hAnsi="宋体" w:cs="宋体"/>
          <w:kern w:val="0"/>
          <w:sz w:val="24"/>
          <w:szCs w:val="24"/>
          <w:lang w:val="en-US" w:eastAsia="zh-CN" w:bidi="ar"/>
        </w:rPr>
        <w:t xml:space="preserve">   </w:t>
      </w:r>
      <w:r>
        <w:rPr>
          <w:rFonts w:ascii="宋体" w:hAnsi="宋体" w:eastAsia="宋体" w:cs="宋体"/>
          <w:kern w:val="0"/>
          <w:sz w:val="24"/>
          <w:szCs w:val="24"/>
          <w:lang w:val="en-US" w:eastAsia="zh-CN" w:bidi="ar"/>
        </w:rPr>
        <w:drawing>
          <wp:inline distT="0" distB="0" distL="114300" distR="114300">
            <wp:extent cx="3966210" cy="2212340"/>
            <wp:effectExtent l="0" t="0" r="15240" b="16510"/>
            <wp:docPr id="7"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IMG_256"/>
                    <pic:cNvPicPr>
                      <a:picLocks noChangeAspect="1"/>
                    </pic:cNvPicPr>
                  </pic:nvPicPr>
                  <pic:blipFill>
                    <a:blip r:embed="rId8"/>
                    <a:stretch>
                      <a:fillRect/>
                    </a:stretch>
                  </pic:blipFill>
                  <pic:spPr>
                    <a:xfrm>
                      <a:off x="0" y="0"/>
                      <a:ext cx="3966210" cy="2212340"/>
                    </a:xfrm>
                    <a:prstGeom prst="rect">
                      <a:avLst/>
                    </a:prstGeom>
                    <a:noFill/>
                    <a:ln w="9525">
                      <a:noFill/>
                    </a:ln>
                  </pic:spPr>
                </pic:pic>
              </a:graphicData>
            </a:graphic>
          </wp:inline>
        </w:drawing>
      </w:r>
    </w:p>
    <w:p>
      <w:pPr>
        <w:spacing w:line="600" w:lineRule="exact"/>
        <w:ind w:firstLine="640" w:firstLineChars="200"/>
        <w:jc w:val="center"/>
        <w:rPr>
          <w:rFonts w:ascii="仿宋" w:hAnsi="仿宋" w:eastAsia="仿宋"/>
          <w:color w:val="000000" w:themeColor="text1"/>
          <w:sz w:val="32"/>
          <w:szCs w:val="32"/>
          <w:highlight w:val="none"/>
          <w14:textFill>
            <w14:solidFill>
              <w14:schemeClr w14:val="tx1"/>
            </w14:solidFill>
          </w14:textFill>
        </w:rPr>
      </w:pPr>
      <w:r>
        <w:rPr>
          <w:rFonts w:hint="eastAsia" w:ascii="仿宋" w:hAnsi="仿宋" w:eastAsia="仿宋"/>
          <w:color w:val="000000" w:themeColor="text1"/>
          <w:sz w:val="32"/>
          <w:szCs w:val="32"/>
          <w:highlight w:val="none"/>
          <w14:textFill>
            <w14:solidFill>
              <w14:schemeClr w14:val="tx1"/>
            </w14:solidFill>
          </w14:textFill>
        </w:rPr>
        <w:t>图3：支出决算结构图</w:t>
      </w:r>
    </w:p>
    <w:p>
      <w:pPr>
        <w:spacing w:line="600" w:lineRule="exact"/>
        <w:ind w:firstLine="640" w:firstLineChars="200"/>
        <w:outlineLvl w:val="1"/>
        <w:rPr>
          <w:rStyle w:val="28"/>
          <w:rFonts w:ascii="黑体" w:hAnsi="黑体" w:eastAsia="黑体"/>
          <w:b w:val="0"/>
        </w:rPr>
      </w:pPr>
      <w:bookmarkStart w:id="34" w:name="_Toc15377208"/>
      <w:bookmarkStart w:id="35" w:name="_Toc15396606"/>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34"/>
      <w:bookmarkEnd w:id="35"/>
    </w:p>
    <w:p>
      <w:pPr>
        <w:spacing w:line="60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27801.94</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年相比，财政拨款收、支总计各减少</w:t>
      </w:r>
      <w:r>
        <w:rPr>
          <w:rFonts w:hint="eastAsia" w:ascii="仿宋" w:hAnsi="仿宋" w:eastAsia="仿宋"/>
          <w:color w:val="000000"/>
          <w:sz w:val="32"/>
          <w:szCs w:val="32"/>
          <w:lang w:val="en-US" w:eastAsia="zh-CN"/>
        </w:rPr>
        <w:t>6876.63</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19.82</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2018年</w:t>
      </w:r>
      <w:r>
        <w:rPr>
          <w:rFonts w:hint="eastAsia" w:ascii="仿宋" w:hAnsi="仿宋" w:eastAsia="仿宋"/>
          <w:color w:val="000000"/>
          <w:sz w:val="32"/>
          <w:szCs w:val="32"/>
          <w:lang w:eastAsia="zh-CN"/>
        </w:rPr>
        <w:t>增加财政拨款用于支付新校园建设土地款</w:t>
      </w:r>
      <w:r>
        <w:rPr>
          <w:rFonts w:hint="eastAsia" w:ascii="仿宋" w:hAnsi="仿宋" w:eastAsia="仿宋"/>
          <w:color w:val="000000"/>
          <w:sz w:val="32"/>
          <w:szCs w:val="32"/>
        </w:rPr>
        <w:t>。</w:t>
      </w:r>
    </w:p>
    <w:p>
      <w:pPr>
        <w:keepNext w:val="0"/>
        <w:keepLines w:val="0"/>
        <w:widowControl/>
        <w:suppressLineNumbers w:val="0"/>
        <w:jc w:val="center"/>
      </w:pPr>
      <w:r>
        <w:rPr>
          <w:rFonts w:ascii="宋体" w:hAnsi="宋体" w:eastAsia="宋体" w:cs="宋体"/>
          <w:kern w:val="0"/>
          <w:sz w:val="24"/>
          <w:szCs w:val="24"/>
          <w:lang w:val="en-US" w:eastAsia="zh-CN" w:bidi="ar"/>
        </w:rPr>
        <w:drawing>
          <wp:inline distT="0" distB="0" distL="114300" distR="114300">
            <wp:extent cx="3754755" cy="2098675"/>
            <wp:effectExtent l="0" t="0" r="17145" b="15875"/>
            <wp:docPr id="8"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IMG_256"/>
                    <pic:cNvPicPr>
                      <a:picLocks noChangeAspect="1"/>
                    </pic:cNvPicPr>
                  </pic:nvPicPr>
                  <pic:blipFill>
                    <a:blip r:embed="rId9"/>
                    <a:stretch>
                      <a:fillRect/>
                    </a:stretch>
                  </pic:blipFill>
                  <pic:spPr>
                    <a:xfrm>
                      <a:off x="0" y="0"/>
                      <a:ext cx="3754755" cy="2098675"/>
                    </a:xfrm>
                    <a:prstGeom prst="rect">
                      <a:avLst/>
                    </a:prstGeom>
                    <a:noFill/>
                    <a:ln w="9525">
                      <a:noFill/>
                    </a:ln>
                  </pic:spPr>
                </pic:pic>
              </a:graphicData>
            </a:graphic>
          </wp:inline>
        </w:drawing>
      </w:r>
    </w:p>
    <w:p>
      <w:pPr>
        <w:spacing w:line="600" w:lineRule="exact"/>
        <w:ind w:firstLine="640" w:firstLineChars="200"/>
        <w:jc w:val="center"/>
        <w:rPr>
          <w:rFonts w:ascii="仿宋" w:hAnsi="仿宋" w:eastAsia="仿宋"/>
          <w:color w:val="000000" w:themeColor="text1"/>
          <w:sz w:val="32"/>
          <w:szCs w:val="32"/>
          <w:highlight w:val="none"/>
          <w14:textFill>
            <w14:solidFill>
              <w14:schemeClr w14:val="tx1"/>
            </w14:solidFill>
          </w14:textFill>
        </w:rPr>
      </w:pPr>
      <w:r>
        <w:rPr>
          <w:rFonts w:hint="eastAsia" w:ascii="仿宋" w:hAnsi="仿宋" w:eastAsia="仿宋"/>
          <w:color w:val="000000" w:themeColor="text1"/>
          <w:sz w:val="32"/>
          <w:szCs w:val="32"/>
          <w:highlight w:val="none"/>
          <w14:textFill>
            <w14:solidFill>
              <w14:schemeClr w14:val="tx1"/>
            </w14:solidFill>
          </w14:textFill>
        </w:rPr>
        <w:t>图4：财政拨款收、支决算总计变动情况</w:t>
      </w:r>
    </w:p>
    <w:p>
      <w:pPr>
        <w:spacing w:line="600" w:lineRule="exact"/>
        <w:ind w:firstLine="640" w:firstLineChars="200"/>
        <w:outlineLvl w:val="1"/>
        <w:rPr>
          <w:rStyle w:val="28"/>
          <w:rFonts w:ascii="黑体" w:hAnsi="黑体" w:eastAsia="黑体"/>
          <w:b w:val="0"/>
        </w:rPr>
      </w:pPr>
      <w:bookmarkStart w:id="36" w:name="_Toc15396607"/>
      <w:bookmarkStart w:id="37"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36"/>
      <w:bookmarkEnd w:id="37"/>
    </w:p>
    <w:p>
      <w:pPr>
        <w:spacing w:line="600" w:lineRule="exact"/>
        <w:ind w:firstLine="643" w:firstLineChars="200"/>
        <w:outlineLvl w:val="2"/>
        <w:rPr>
          <w:rFonts w:ascii="仿宋" w:hAnsi="仿宋" w:eastAsia="仿宋"/>
          <w:b/>
          <w:color w:val="000000"/>
          <w:sz w:val="32"/>
          <w:szCs w:val="32"/>
        </w:rPr>
      </w:pPr>
      <w:bookmarkStart w:id="38" w:name="_Toc15377210"/>
      <w:r>
        <w:rPr>
          <w:rFonts w:hint="eastAsia" w:ascii="仿宋" w:hAnsi="仿宋" w:eastAsia="仿宋"/>
          <w:b/>
          <w:color w:val="000000"/>
          <w:sz w:val="32"/>
          <w:szCs w:val="32"/>
        </w:rPr>
        <w:t>（一）一般公共预算财政拨款支出决算总体情况</w:t>
      </w:r>
      <w:bookmarkEnd w:id="38"/>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年一般公共预算财政拨款支出</w:t>
      </w:r>
      <w:r>
        <w:rPr>
          <w:rFonts w:hint="eastAsia" w:ascii="仿宋" w:hAnsi="仿宋" w:eastAsia="仿宋"/>
          <w:color w:val="auto"/>
          <w:sz w:val="32"/>
          <w:szCs w:val="32"/>
        </w:rPr>
        <w:t>23892.38</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63.84</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年相比，一般公共预算财政拨款减少</w:t>
      </w:r>
      <w:r>
        <w:rPr>
          <w:rFonts w:hint="eastAsia" w:ascii="仿宋" w:hAnsi="仿宋" w:eastAsia="仿宋"/>
          <w:color w:val="000000"/>
          <w:sz w:val="32"/>
          <w:szCs w:val="32"/>
          <w:lang w:val="en-US" w:eastAsia="zh-CN"/>
        </w:rPr>
        <w:t>6280.96</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20.81</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2018年</w:t>
      </w:r>
      <w:r>
        <w:rPr>
          <w:rFonts w:hint="eastAsia" w:ascii="仿宋" w:hAnsi="仿宋" w:eastAsia="仿宋"/>
          <w:color w:val="000000"/>
          <w:sz w:val="32"/>
          <w:szCs w:val="32"/>
          <w:lang w:eastAsia="zh-CN"/>
        </w:rPr>
        <w:t>增加了财政拨款用于支付新校园建设土地款。</w:t>
      </w:r>
    </w:p>
    <w:p>
      <w:pPr>
        <w:keepNext w:val="0"/>
        <w:keepLines w:val="0"/>
        <w:widowControl/>
        <w:suppressLineNumbers w:val="0"/>
        <w:jc w:val="center"/>
      </w:pPr>
      <w:r>
        <w:rPr>
          <w:rFonts w:ascii="宋体" w:hAnsi="宋体" w:eastAsia="宋体" w:cs="宋体"/>
          <w:kern w:val="0"/>
          <w:sz w:val="24"/>
          <w:szCs w:val="24"/>
          <w:lang w:val="en-US" w:eastAsia="zh-CN" w:bidi="ar"/>
        </w:rPr>
        <w:drawing>
          <wp:inline distT="0" distB="0" distL="114300" distR="114300">
            <wp:extent cx="3912235" cy="2197735"/>
            <wp:effectExtent l="0" t="0" r="12065" b="12065"/>
            <wp:docPr id="9"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IMG_256"/>
                    <pic:cNvPicPr>
                      <a:picLocks noChangeAspect="1"/>
                    </pic:cNvPicPr>
                  </pic:nvPicPr>
                  <pic:blipFill>
                    <a:blip r:embed="rId10"/>
                    <a:stretch>
                      <a:fillRect/>
                    </a:stretch>
                  </pic:blipFill>
                  <pic:spPr>
                    <a:xfrm>
                      <a:off x="0" y="0"/>
                      <a:ext cx="3912235" cy="2197735"/>
                    </a:xfrm>
                    <a:prstGeom prst="rect">
                      <a:avLst/>
                    </a:prstGeom>
                    <a:noFill/>
                    <a:ln w="9525">
                      <a:noFill/>
                    </a:ln>
                  </pic:spPr>
                </pic:pic>
              </a:graphicData>
            </a:graphic>
          </wp:inline>
        </w:drawing>
      </w:r>
    </w:p>
    <w:p>
      <w:pPr>
        <w:spacing w:line="600" w:lineRule="exact"/>
        <w:jc w:val="center"/>
        <w:rPr>
          <w:rFonts w:ascii="仿宋" w:hAnsi="仿宋" w:eastAsia="仿宋"/>
          <w:color w:val="000000" w:themeColor="text1"/>
          <w:sz w:val="32"/>
          <w:szCs w:val="32"/>
          <w:highlight w:val="none"/>
          <w14:textFill>
            <w14:solidFill>
              <w14:schemeClr w14:val="tx1"/>
            </w14:solidFill>
          </w14:textFill>
        </w:rPr>
      </w:pPr>
      <w:r>
        <w:rPr>
          <w:rFonts w:hint="eastAsia" w:ascii="仿宋" w:hAnsi="仿宋" w:eastAsia="仿宋"/>
          <w:color w:val="000000" w:themeColor="text1"/>
          <w:sz w:val="32"/>
          <w:szCs w:val="32"/>
          <w:highlight w:val="none"/>
          <w14:textFill>
            <w14:solidFill>
              <w14:schemeClr w14:val="tx1"/>
            </w14:solidFill>
          </w14:textFill>
        </w:rPr>
        <w:t>图5：一般公共预算财政拨款支出决算变动情况</w:t>
      </w:r>
    </w:p>
    <w:p>
      <w:pPr>
        <w:spacing w:line="600" w:lineRule="exact"/>
        <w:ind w:firstLine="643" w:firstLineChars="200"/>
        <w:outlineLvl w:val="2"/>
        <w:rPr>
          <w:rFonts w:ascii="仿宋" w:hAnsi="仿宋" w:eastAsia="仿宋"/>
          <w:b/>
          <w:color w:val="000000"/>
          <w:sz w:val="32"/>
          <w:szCs w:val="32"/>
        </w:rPr>
      </w:pPr>
      <w:bookmarkStart w:id="39" w:name="_Toc15377211"/>
      <w:r>
        <w:rPr>
          <w:rFonts w:hint="eastAsia" w:ascii="仿宋" w:hAnsi="仿宋" w:eastAsia="仿宋"/>
          <w:b/>
          <w:color w:val="000000"/>
          <w:sz w:val="32"/>
          <w:szCs w:val="32"/>
        </w:rPr>
        <w:t>（二）一般公共预算财政拨款支出决算结构情况</w:t>
      </w:r>
      <w:bookmarkEnd w:id="39"/>
    </w:p>
    <w:p>
      <w:pPr>
        <w:spacing w:line="600" w:lineRule="exact"/>
        <w:ind w:firstLine="640"/>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auto"/>
          <w:sz w:val="32"/>
          <w:szCs w:val="32"/>
          <w:highlight w:val="none"/>
        </w:rPr>
        <w:t>23892.38</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w:t>
      </w:r>
      <w:r>
        <w:rPr>
          <w:rFonts w:hint="eastAsia" w:ascii="仿宋" w:hAnsi="仿宋" w:eastAsia="仿宋"/>
          <w:color w:val="000000" w:themeColor="text1"/>
          <w:sz w:val="32"/>
          <w:szCs w:val="32"/>
          <w14:textFill>
            <w14:solidFill>
              <w14:schemeClr w14:val="tx1"/>
            </w14:solidFill>
          </w14:textFill>
        </w:rPr>
        <w:t>支出5.4万元，占</w:t>
      </w:r>
      <w:r>
        <w:rPr>
          <w:rFonts w:hint="eastAsia" w:ascii="仿宋" w:hAnsi="仿宋" w:eastAsia="仿宋"/>
          <w:color w:val="000000" w:themeColor="text1"/>
          <w:sz w:val="32"/>
          <w:szCs w:val="32"/>
          <w:lang w:val="en-US" w:eastAsia="zh-CN"/>
          <w14:textFill>
            <w14:solidFill>
              <w14:schemeClr w14:val="tx1"/>
            </w14:solidFill>
          </w14:textFill>
        </w:rPr>
        <w:t>0.02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教育支出</w:t>
      </w:r>
      <w:r>
        <w:rPr>
          <w:rFonts w:hint="eastAsia" w:ascii="仿宋" w:hAnsi="仿宋" w:eastAsia="仿宋"/>
          <w:color w:val="000000" w:themeColor="text1"/>
          <w:sz w:val="32"/>
          <w:szCs w:val="32"/>
          <w14:textFill>
            <w14:solidFill>
              <w14:schemeClr w14:val="tx1"/>
            </w14:solidFill>
          </w14:textFill>
        </w:rPr>
        <w:t>22351.78万元，占</w:t>
      </w:r>
      <w:r>
        <w:rPr>
          <w:rFonts w:hint="eastAsia" w:ascii="仿宋" w:hAnsi="仿宋" w:eastAsia="仿宋"/>
          <w:color w:val="000000" w:themeColor="text1"/>
          <w:sz w:val="32"/>
          <w:szCs w:val="32"/>
          <w:lang w:val="en-US" w:eastAsia="zh-CN"/>
          <w14:textFill>
            <w14:solidFill>
              <w14:schemeClr w14:val="tx1"/>
            </w14:solidFill>
          </w14:textFill>
        </w:rPr>
        <w:t>93.55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科学技术</w:t>
      </w:r>
      <w:r>
        <w:rPr>
          <w:rFonts w:hint="eastAsia" w:ascii="仿宋" w:hAnsi="仿宋" w:eastAsia="仿宋"/>
          <w:color w:val="000000" w:themeColor="text1"/>
          <w:sz w:val="32"/>
          <w:szCs w:val="32"/>
          <w14:textFill>
            <w14:solidFill>
              <w14:schemeClr w14:val="tx1"/>
            </w14:solidFill>
          </w14:textFill>
        </w:rPr>
        <w:t>支出29.18万元，占</w:t>
      </w:r>
      <w:r>
        <w:rPr>
          <w:rFonts w:hint="eastAsia" w:ascii="仿宋" w:hAnsi="仿宋" w:eastAsia="仿宋"/>
          <w:color w:val="000000" w:themeColor="text1"/>
          <w:sz w:val="32"/>
          <w:szCs w:val="32"/>
          <w:lang w:val="en-US" w:eastAsia="zh-CN"/>
          <w14:textFill>
            <w14:solidFill>
              <w14:schemeClr w14:val="tx1"/>
            </w14:solidFill>
          </w14:textFill>
        </w:rPr>
        <w:t>0.12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文化旅游体育与传媒支出</w:t>
      </w:r>
      <w:r>
        <w:rPr>
          <w:rFonts w:hint="eastAsia" w:ascii="仿宋" w:hAnsi="仿宋" w:eastAsia="仿宋"/>
          <w:color w:val="000000" w:themeColor="text1"/>
          <w:sz w:val="32"/>
          <w:szCs w:val="32"/>
          <w14:textFill>
            <w14:solidFill>
              <w14:schemeClr w14:val="tx1"/>
            </w14:solidFill>
          </w14:textFill>
        </w:rPr>
        <w:t>支出103.55万元，占</w:t>
      </w:r>
      <w:r>
        <w:rPr>
          <w:rFonts w:hint="eastAsia" w:ascii="仿宋" w:hAnsi="仿宋" w:eastAsia="仿宋"/>
          <w:color w:val="000000" w:themeColor="text1"/>
          <w:sz w:val="32"/>
          <w:szCs w:val="32"/>
          <w:lang w:val="en-US" w:eastAsia="zh-CN"/>
          <w14:textFill>
            <w14:solidFill>
              <w14:schemeClr w14:val="tx1"/>
            </w14:solidFill>
          </w14:textFill>
        </w:rPr>
        <w:t>0.44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w:t>
      </w:r>
      <w:r>
        <w:rPr>
          <w:rFonts w:hint="eastAsia" w:ascii="仿宋" w:hAnsi="仿宋" w:eastAsia="仿宋"/>
          <w:color w:val="000000" w:themeColor="text1"/>
          <w:sz w:val="32"/>
          <w:szCs w:val="32"/>
          <w14:textFill>
            <w14:solidFill>
              <w14:schemeClr w14:val="tx1"/>
            </w14:solidFill>
          </w14:textFill>
        </w:rPr>
        <w:t>支出402.19万元，占</w:t>
      </w:r>
      <w:r>
        <w:rPr>
          <w:rFonts w:hint="eastAsia" w:ascii="仿宋" w:hAnsi="仿宋" w:eastAsia="仿宋"/>
          <w:color w:val="000000" w:themeColor="text1"/>
          <w:sz w:val="32"/>
          <w:szCs w:val="32"/>
          <w:lang w:val="en-US" w:eastAsia="zh-CN"/>
          <w14:textFill>
            <w14:solidFill>
              <w14:schemeClr w14:val="tx1"/>
            </w14:solidFill>
          </w14:textFill>
        </w:rPr>
        <w:t>1.68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卫生健康支出</w:t>
      </w:r>
      <w:r>
        <w:rPr>
          <w:rFonts w:hint="eastAsia" w:ascii="仿宋" w:hAnsi="仿宋" w:eastAsia="仿宋"/>
          <w:color w:val="000000" w:themeColor="text1"/>
          <w:sz w:val="32"/>
          <w:szCs w:val="32"/>
          <w14:textFill>
            <w14:solidFill>
              <w14:schemeClr w14:val="tx1"/>
            </w14:solidFill>
          </w14:textFill>
        </w:rPr>
        <w:t>949.2万元，占</w:t>
      </w:r>
      <w:r>
        <w:rPr>
          <w:rFonts w:hint="eastAsia" w:ascii="仿宋" w:hAnsi="仿宋" w:eastAsia="仿宋"/>
          <w:color w:val="000000" w:themeColor="text1"/>
          <w:sz w:val="32"/>
          <w:szCs w:val="32"/>
          <w:lang w:val="en-US" w:eastAsia="zh-CN"/>
          <w14:textFill>
            <w14:solidFill>
              <w14:schemeClr w14:val="tx1"/>
            </w14:solidFill>
          </w14:textFill>
        </w:rPr>
        <w:t>3.98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住房保障支出</w:t>
      </w:r>
      <w:r>
        <w:rPr>
          <w:rFonts w:hint="eastAsia" w:ascii="仿宋" w:hAnsi="仿宋" w:eastAsia="仿宋"/>
          <w:color w:val="000000" w:themeColor="text1"/>
          <w:sz w:val="32"/>
          <w:szCs w:val="32"/>
          <w14:textFill>
            <w14:solidFill>
              <w14:schemeClr w14:val="tx1"/>
            </w14:solidFill>
          </w14:textFill>
        </w:rPr>
        <w:t>51.08万元，占</w:t>
      </w:r>
      <w:r>
        <w:rPr>
          <w:rFonts w:hint="eastAsia" w:ascii="仿宋" w:hAnsi="仿宋" w:eastAsia="仿宋"/>
          <w:color w:val="000000" w:themeColor="text1"/>
          <w:sz w:val="32"/>
          <w:szCs w:val="32"/>
          <w:lang w:val="en-US" w:eastAsia="zh-CN"/>
          <w14:textFill>
            <w14:solidFill>
              <w14:schemeClr w14:val="tx1"/>
            </w14:solidFill>
          </w14:textFill>
        </w:rPr>
        <w:t>0.21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keepNext w:val="0"/>
        <w:keepLines w:val="0"/>
        <w:widowControl/>
        <w:suppressLineNumbers w:val="0"/>
        <w:jc w:val="center"/>
      </w:pPr>
      <w:r>
        <w:rPr>
          <w:rFonts w:ascii="宋体" w:hAnsi="宋体" w:eastAsia="宋体" w:cs="宋体"/>
          <w:kern w:val="0"/>
          <w:sz w:val="24"/>
          <w:szCs w:val="24"/>
          <w:lang w:val="en-US" w:eastAsia="zh-CN" w:bidi="ar"/>
        </w:rPr>
        <w:drawing>
          <wp:inline distT="0" distB="0" distL="114300" distR="114300">
            <wp:extent cx="3613785" cy="2247265"/>
            <wp:effectExtent l="0" t="0" r="5715" b="635"/>
            <wp:docPr id="10"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IMG_256"/>
                    <pic:cNvPicPr>
                      <a:picLocks noChangeAspect="1"/>
                    </pic:cNvPicPr>
                  </pic:nvPicPr>
                  <pic:blipFill>
                    <a:blip r:embed="rId11"/>
                    <a:stretch>
                      <a:fillRect/>
                    </a:stretch>
                  </pic:blipFill>
                  <pic:spPr>
                    <a:xfrm>
                      <a:off x="0" y="0"/>
                      <a:ext cx="3613785" cy="2247265"/>
                    </a:xfrm>
                    <a:prstGeom prst="rect">
                      <a:avLst/>
                    </a:prstGeom>
                    <a:noFill/>
                    <a:ln w="9525">
                      <a:noFill/>
                    </a:ln>
                  </pic:spPr>
                </pic:pic>
              </a:graphicData>
            </a:graphic>
          </wp:inline>
        </w:drawing>
      </w:r>
    </w:p>
    <w:p>
      <w:pPr>
        <w:spacing w:line="600" w:lineRule="exact"/>
        <w:jc w:val="center"/>
        <w:rPr>
          <w:rFonts w:ascii="仿宋" w:hAnsi="仿宋" w:eastAsia="仿宋"/>
          <w:color w:val="000000"/>
          <w:sz w:val="32"/>
          <w:szCs w:val="32"/>
          <w:highlight w:val="none"/>
        </w:rPr>
      </w:pPr>
      <w:r>
        <w:rPr>
          <w:rFonts w:hint="eastAsia" w:ascii="仿宋" w:hAnsi="仿宋" w:eastAsia="仿宋"/>
          <w:color w:val="000000"/>
          <w:sz w:val="32"/>
          <w:szCs w:val="32"/>
          <w:highlight w:val="none"/>
        </w:rPr>
        <w:t>图6：一般公共预算财政拨款支出决算结构</w:t>
      </w:r>
    </w:p>
    <w:p>
      <w:pPr>
        <w:spacing w:line="600" w:lineRule="exact"/>
        <w:ind w:firstLine="643" w:firstLineChars="200"/>
        <w:outlineLvl w:val="2"/>
        <w:rPr>
          <w:rFonts w:ascii="仿宋" w:hAnsi="仿宋" w:eastAsia="仿宋"/>
          <w:b/>
          <w:color w:val="000000"/>
          <w:sz w:val="32"/>
          <w:szCs w:val="32"/>
        </w:rPr>
      </w:pPr>
      <w:bookmarkStart w:id="40" w:name="_Toc15377212"/>
      <w:r>
        <w:rPr>
          <w:rFonts w:hint="eastAsia" w:ascii="仿宋" w:hAnsi="仿宋" w:eastAsia="仿宋"/>
          <w:b/>
          <w:color w:val="000000"/>
          <w:sz w:val="32"/>
          <w:szCs w:val="32"/>
        </w:rPr>
        <w:t>（三）一般公共预算财政拨款支出决算具体情况</w:t>
      </w:r>
      <w:bookmarkEnd w:id="40"/>
    </w:p>
    <w:p>
      <w:pPr>
        <w:spacing w:line="600" w:lineRule="exact"/>
        <w:ind w:firstLine="643" w:firstLineChars="200"/>
        <w:outlineLvl w:val="2"/>
        <w:rPr>
          <w:rFonts w:ascii="仿宋" w:hAnsi="仿宋" w:eastAsia="仿宋"/>
          <w:color w:val="FF0000"/>
          <w:sz w:val="32"/>
          <w:szCs w:val="32"/>
        </w:rPr>
      </w:pPr>
      <w:bookmarkStart w:id="41" w:name="_Toc15377213"/>
      <w:bookmarkStart w:id="42" w:name="_Toc15377444"/>
      <w:bookmarkStart w:id="43" w:name="_Toc15378460"/>
      <w:r>
        <w:rPr>
          <w:rFonts w:hint="eastAsia" w:ascii="仿宋" w:hAnsi="仿宋" w:eastAsia="仿宋"/>
          <w:b/>
          <w:color w:val="000000" w:themeColor="text1"/>
          <w:sz w:val="32"/>
          <w:szCs w:val="32"/>
          <w14:textFill>
            <w14:solidFill>
              <w14:schemeClr w14:val="tx1"/>
            </w14:solidFill>
          </w14:textFill>
        </w:rPr>
        <w:t>201</w:t>
      </w:r>
      <w:r>
        <w:rPr>
          <w:rFonts w:hint="eastAsia" w:ascii="仿宋" w:hAnsi="仿宋" w:eastAsia="仿宋"/>
          <w:b/>
          <w:color w:val="000000" w:themeColor="text1"/>
          <w:sz w:val="32"/>
          <w:szCs w:val="32"/>
          <w:lang w:val="en-US" w:eastAsia="zh-CN"/>
          <w14:textFill>
            <w14:solidFill>
              <w14:schemeClr w14:val="tx1"/>
            </w14:solidFill>
          </w14:textFill>
        </w:rPr>
        <w:t>9</w:t>
      </w:r>
      <w:r>
        <w:rPr>
          <w:rFonts w:hint="eastAsia" w:ascii="仿宋" w:hAnsi="仿宋" w:eastAsia="仿宋"/>
          <w:b/>
          <w:color w:val="000000" w:themeColor="text1"/>
          <w:sz w:val="32"/>
          <w:szCs w:val="32"/>
          <w14:textFill>
            <w14:solidFill>
              <w14:schemeClr w14:val="tx1"/>
            </w14:solidFill>
          </w14:textFill>
        </w:rPr>
        <w:t>年</w:t>
      </w:r>
      <w:r>
        <w:rPr>
          <w:rFonts w:hint="eastAsia" w:ascii="仿宋" w:hAnsi="仿宋" w:eastAsia="仿宋"/>
          <w:b/>
          <w:color w:val="000000" w:themeColor="text1"/>
          <w:sz w:val="32"/>
          <w:szCs w:val="32"/>
          <w:lang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color w:val="000000"/>
          <w:sz w:val="32"/>
          <w:szCs w:val="32"/>
        </w:rPr>
        <w:t>23892.38</w:t>
      </w:r>
      <w:r>
        <w:rPr>
          <w:rFonts w:hint="eastAsia" w:ascii="仿宋" w:hAnsi="仿宋" w:eastAsia="仿宋"/>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完成</w:t>
      </w:r>
      <w:r>
        <w:rPr>
          <w:rStyle w:val="15"/>
          <w:rFonts w:hint="eastAsia" w:ascii="仿宋" w:hAnsi="仿宋" w:eastAsia="仿宋"/>
          <w:bCs/>
          <w:color w:val="000000"/>
          <w:sz w:val="32"/>
          <w:szCs w:val="32"/>
        </w:rPr>
        <w:t>预算</w:t>
      </w:r>
      <w:r>
        <w:rPr>
          <w:rStyle w:val="15"/>
          <w:rFonts w:hint="eastAsia" w:ascii="仿宋" w:hAnsi="仿宋" w:eastAsia="仿宋"/>
          <w:bCs/>
          <w:color w:val="000000"/>
          <w:sz w:val="32"/>
          <w:szCs w:val="32"/>
          <w:lang w:val="en-US" w:eastAsia="zh-CN"/>
        </w:rPr>
        <w:t>92.61</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41"/>
      <w:bookmarkEnd w:id="42"/>
      <w:bookmarkEnd w:id="43"/>
    </w:p>
    <w:p>
      <w:pPr>
        <w:spacing w:line="600" w:lineRule="exact"/>
        <w:ind w:firstLine="643" w:firstLineChars="200"/>
        <w:rPr>
          <w:rFonts w:ascii="仿宋" w:hAnsi="仿宋" w:eastAsia="仿宋"/>
          <w:b/>
          <w:color w:val="000000"/>
          <w:sz w:val="32"/>
          <w:szCs w:val="32"/>
        </w:rPr>
      </w:pPr>
      <w:r>
        <w:rPr>
          <w:rStyle w:val="15"/>
          <w:rFonts w:ascii="仿宋" w:hAnsi="仿宋" w:eastAsia="仿宋"/>
          <w:bCs/>
          <w:color w:val="000000"/>
          <w:sz w:val="32"/>
          <w:szCs w:val="32"/>
        </w:rPr>
        <w:t>1.</w:t>
      </w:r>
      <w:r>
        <w:rPr>
          <w:rStyle w:val="15"/>
          <w:rFonts w:hint="eastAsia" w:ascii="仿宋" w:hAnsi="仿宋" w:eastAsia="仿宋"/>
          <w:bCs/>
          <w:color w:val="000000"/>
          <w:sz w:val="32"/>
          <w:szCs w:val="32"/>
        </w:rPr>
        <w:t>一般公共服务（类）群众团体事务（款）其他群众团体事务支出（项）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5.4</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Style w:val="15"/>
          <w:rFonts w:hint="eastAsia" w:ascii="仿宋" w:hAnsi="仿宋" w:eastAsia="仿宋"/>
          <w:b w:val="0"/>
          <w:bCs/>
          <w:color w:val="auto"/>
          <w:sz w:val="32"/>
          <w:szCs w:val="32"/>
        </w:rPr>
      </w:pPr>
      <w:r>
        <w:rPr>
          <w:rStyle w:val="15"/>
          <w:rFonts w:ascii="仿宋" w:hAnsi="仿宋" w:eastAsia="仿宋"/>
          <w:bCs/>
          <w:color w:val="auto"/>
          <w:sz w:val="32"/>
          <w:szCs w:val="32"/>
        </w:rPr>
        <w:t>2.</w:t>
      </w:r>
      <w:r>
        <w:rPr>
          <w:rStyle w:val="15"/>
          <w:rFonts w:hint="eastAsia" w:ascii="仿宋" w:hAnsi="仿宋" w:eastAsia="仿宋"/>
          <w:bCs/>
          <w:color w:val="auto"/>
          <w:sz w:val="32"/>
          <w:szCs w:val="32"/>
        </w:rPr>
        <w:t>教育（类）普通教育（款）初中教育（项）</w:t>
      </w:r>
      <w:r>
        <w:rPr>
          <w:rStyle w:val="15"/>
          <w:rFonts w:ascii="仿宋" w:hAnsi="仿宋" w:eastAsia="仿宋"/>
          <w:bCs/>
          <w:color w:val="auto"/>
          <w:sz w:val="32"/>
          <w:szCs w:val="32"/>
        </w:rPr>
        <w:t>:</w:t>
      </w:r>
      <w:r>
        <w:rPr>
          <w:rStyle w:val="15"/>
          <w:rFonts w:ascii="仿宋" w:hAnsi="仿宋" w:eastAsia="仿宋"/>
          <w:b w:val="0"/>
          <w:bCs/>
          <w:color w:val="auto"/>
          <w:sz w:val="32"/>
          <w:szCs w:val="32"/>
        </w:rPr>
        <w:t xml:space="preserve"> </w:t>
      </w:r>
      <w:r>
        <w:rPr>
          <w:rStyle w:val="15"/>
          <w:rFonts w:hint="eastAsia" w:ascii="仿宋" w:hAnsi="仿宋" w:eastAsia="仿宋"/>
          <w:b w:val="0"/>
          <w:bCs/>
          <w:color w:val="auto"/>
          <w:sz w:val="32"/>
          <w:szCs w:val="32"/>
        </w:rPr>
        <w:t>支出决算为448.25万元，完成预算</w:t>
      </w:r>
      <w:r>
        <w:rPr>
          <w:rStyle w:val="15"/>
          <w:rFonts w:hint="eastAsia" w:ascii="仿宋" w:hAnsi="仿宋" w:eastAsia="仿宋"/>
          <w:b w:val="0"/>
          <w:bCs/>
          <w:color w:val="auto"/>
          <w:sz w:val="32"/>
          <w:szCs w:val="32"/>
          <w:lang w:val="en-US" w:eastAsia="zh-CN"/>
        </w:rPr>
        <w:t>99.79</w:t>
      </w:r>
      <w:r>
        <w:rPr>
          <w:rStyle w:val="15"/>
          <w:rFonts w:ascii="仿宋" w:hAnsi="仿宋" w:eastAsia="仿宋"/>
          <w:b w:val="0"/>
          <w:bCs/>
          <w:color w:val="auto"/>
          <w:sz w:val="32"/>
          <w:szCs w:val="32"/>
        </w:rPr>
        <w:t>%</w:t>
      </w:r>
      <w:r>
        <w:rPr>
          <w:rStyle w:val="15"/>
          <w:rFonts w:hint="eastAsia" w:ascii="仿宋" w:hAnsi="仿宋" w:eastAsia="仿宋"/>
          <w:b w:val="0"/>
          <w:bCs/>
          <w:color w:val="auto"/>
          <w:sz w:val="32"/>
          <w:szCs w:val="32"/>
        </w:rPr>
        <w:t>，决算数小于预算数的主要原因是</w:t>
      </w:r>
      <w:r>
        <w:rPr>
          <w:rStyle w:val="15"/>
          <w:rFonts w:hint="eastAsia" w:ascii="仿宋" w:hAnsi="仿宋" w:eastAsia="仿宋"/>
          <w:b w:val="0"/>
          <w:bCs/>
          <w:color w:val="auto"/>
          <w:sz w:val="32"/>
          <w:szCs w:val="32"/>
          <w:lang w:val="en-US" w:eastAsia="zh-CN"/>
        </w:rPr>
        <w:t>水电费用无法准确预计</w:t>
      </w:r>
      <w:r>
        <w:rPr>
          <w:rStyle w:val="15"/>
          <w:rFonts w:hint="eastAsia" w:ascii="仿宋" w:hAnsi="仿宋" w:eastAsia="仿宋"/>
          <w:b w:val="0"/>
          <w:bCs/>
          <w:color w:val="auto"/>
          <w:sz w:val="32"/>
          <w:szCs w:val="32"/>
        </w:rPr>
        <w:t>。</w:t>
      </w:r>
    </w:p>
    <w:p>
      <w:pPr>
        <w:spacing w:line="600" w:lineRule="exact"/>
        <w:ind w:firstLine="643" w:firstLineChars="200"/>
        <w:rPr>
          <w:rStyle w:val="15"/>
          <w:rFonts w:hint="eastAsia" w:ascii="仿宋" w:hAnsi="仿宋" w:eastAsia="仿宋"/>
          <w:b w:val="0"/>
          <w:bCs/>
          <w:color w:val="000000"/>
          <w:sz w:val="32"/>
          <w:szCs w:val="32"/>
        </w:rPr>
      </w:pPr>
      <w:r>
        <w:rPr>
          <w:rStyle w:val="15"/>
          <w:rFonts w:ascii="仿宋" w:hAnsi="仿宋" w:eastAsia="仿宋"/>
          <w:bCs/>
          <w:color w:val="000000"/>
          <w:sz w:val="32"/>
          <w:szCs w:val="32"/>
        </w:rPr>
        <w:t>3.</w:t>
      </w:r>
      <w:r>
        <w:rPr>
          <w:rStyle w:val="15"/>
          <w:rFonts w:hint="eastAsia" w:ascii="仿宋" w:hAnsi="仿宋" w:eastAsia="仿宋"/>
          <w:bCs/>
          <w:color w:val="000000"/>
          <w:sz w:val="32"/>
          <w:szCs w:val="32"/>
        </w:rPr>
        <w:t>教育（类）普通教育（款）高等教育（项）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支出决算为161.42万元，完成预算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Style w:val="15"/>
          <w:rFonts w:hint="eastAsia" w:ascii="仿宋" w:hAnsi="仿宋" w:eastAsia="仿宋"/>
          <w:b w:val="0"/>
          <w:bCs/>
          <w:color w:val="000000"/>
          <w:sz w:val="32"/>
          <w:szCs w:val="32"/>
        </w:rPr>
      </w:pPr>
      <w:r>
        <w:rPr>
          <w:rStyle w:val="15"/>
          <w:rFonts w:hint="eastAsia" w:ascii="仿宋" w:hAnsi="仿宋" w:eastAsia="仿宋"/>
          <w:bCs/>
          <w:color w:val="000000"/>
          <w:sz w:val="32"/>
          <w:szCs w:val="32"/>
          <w:lang w:val="en-US" w:eastAsia="zh-CN"/>
        </w:rPr>
        <w:t>4</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教育（类）普通教育（款）其他普通教育支出（项）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支出决算为0.2万元，完成预算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Style w:val="15"/>
          <w:rFonts w:hint="eastAsia" w:ascii="仿宋" w:hAnsi="仿宋" w:eastAsia="仿宋"/>
          <w:b w:val="0"/>
          <w:bCs/>
          <w:color w:val="000000"/>
          <w:sz w:val="32"/>
          <w:szCs w:val="32"/>
        </w:rPr>
      </w:pPr>
      <w:r>
        <w:rPr>
          <w:rStyle w:val="15"/>
          <w:rFonts w:hint="eastAsia" w:ascii="仿宋" w:hAnsi="仿宋" w:eastAsia="仿宋"/>
          <w:bCs/>
          <w:color w:val="000000"/>
          <w:sz w:val="32"/>
          <w:szCs w:val="32"/>
          <w:lang w:val="en-US" w:eastAsia="zh-CN"/>
        </w:rPr>
        <w:t>5</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教育（类）职业教育（款）中专教育（项）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支出决算为1462.38万元，完成预算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Style w:val="15"/>
          <w:rFonts w:hint="eastAsia" w:ascii="仿宋" w:hAnsi="仿宋" w:eastAsia="仿宋"/>
          <w:b w:val="0"/>
          <w:bCs/>
          <w:color w:val="auto"/>
          <w:sz w:val="32"/>
          <w:szCs w:val="32"/>
          <w:highlight w:val="none"/>
          <w:lang w:eastAsia="zh-CN"/>
        </w:rPr>
      </w:pPr>
      <w:r>
        <w:rPr>
          <w:rStyle w:val="15"/>
          <w:rFonts w:hint="eastAsia" w:ascii="仿宋" w:hAnsi="仿宋" w:eastAsia="仿宋"/>
          <w:bCs/>
          <w:color w:val="auto"/>
          <w:sz w:val="32"/>
          <w:szCs w:val="32"/>
          <w:lang w:val="en-US" w:eastAsia="zh-CN"/>
        </w:rPr>
        <w:t>6</w:t>
      </w:r>
      <w:r>
        <w:rPr>
          <w:rStyle w:val="15"/>
          <w:rFonts w:ascii="仿宋" w:hAnsi="仿宋" w:eastAsia="仿宋"/>
          <w:bCs/>
          <w:color w:val="auto"/>
          <w:sz w:val="32"/>
          <w:szCs w:val="32"/>
        </w:rPr>
        <w:t>.</w:t>
      </w:r>
      <w:r>
        <w:rPr>
          <w:rStyle w:val="15"/>
          <w:rFonts w:hint="eastAsia" w:ascii="仿宋" w:hAnsi="仿宋" w:eastAsia="仿宋"/>
          <w:bCs/>
          <w:color w:val="auto"/>
          <w:sz w:val="32"/>
          <w:szCs w:val="32"/>
        </w:rPr>
        <w:t>教育（类）职业教育（款）高等职业教育（项）</w:t>
      </w:r>
      <w:r>
        <w:rPr>
          <w:rStyle w:val="15"/>
          <w:rFonts w:ascii="仿宋" w:hAnsi="仿宋" w:eastAsia="仿宋"/>
          <w:bCs/>
          <w:color w:val="auto"/>
          <w:sz w:val="32"/>
          <w:szCs w:val="32"/>
        </w:rPr>
        <w:t>:</w:t>
      </w:r>
      <w:r>
        <w:rPr>
          <w:rStyle w:val="15"/>
          <w:rFonts w:ascii="仿宋" w:hAnsi="仿宋" w:eastAsia="仿宋"/>
          <w:b w:val="0"/>
          <w:bCs/>
          <w:color w:val="auto"/>
          <w:sz w:val="32"/>
          <w:szCs w:val="32"/>
        </w:rPr>
        <w:t xml:space="preserve"> </w:t>
      </w:r>
      <w:r>
        <w:rPr>
          <w:rStyle w:val="15"/>
          <w:rFonts w:hint="eastAsia" w:ascii="仿宋" w:hAnsi="仿宋" w:eastAsia="仿宋"/>
          <w:b w:val="0"/>
          <w:bCs/>
          <w:color w:val="auto"/>
          <w:sz w:val="32"/>
          <w:szCs w:val="32"/>
        </w:rPr>
        <w:t>支出决算为20179.74万元，完成预算</w:t>
      </w:r>
      <w:r>
        <w:rPr>
          <w:rStyle w:val="15"/>
          <w:rFonts w:hint="eastAsia" w:ascii="仿宋" w:hAnsi="仿宋" w:eastAsia="仿宋"/>
          <w:b w:val="0"/>
          <w:bCs/>
          <w:color w:val="auto"/>
          <w:sz w:val="32"/>
          <w:szCs w:val="32"/>
          <w:lang w:val="en-US" w:eastAsia="zh-CN"/>
        </w:rPr>
        <w:t>91.84</w:t>
      </w:r>
      <w:r>
        <w:rPr>
          <w:rStyle w:val="15"/>
          <w:rFonts w:ascii="仿宋" w:hAnsi="仿宋" w:eastAsia="仿宋"/>
          <w:b w:val="0"/>
          <w:bCs/>
          <w:color w:val="auto"/>
          <w:sz w:val="32"/>
          <w:szCs w:val="32"/>
        </w:rPr>
        <w:t>%</w:t>
      </w:r>
      <w:r>
        <w:rPr>
          <w:rStyle w:val="15"/>
          <w:rFonts w:hint="eastAsia" w:ascii="仿宋" w:hAnsi="仿宋" w:eastAsia="仿宋"/>
          <w:b w:val="0"/>
          <w:bCs/>
          <w:color w:val="auto"/>
          <w:sz w:val="32"/>
          <w:szCs w:val="32"/>
          <w:lang w:eastAsia="zh-CN"/>
        </w:rPr>
        <w:t>，</w:t>
      </w:r>
      <w:r>
        <w:rPr>
          <w:rStyle w:val="15"/>
          <w:rFonts w:hint="eastAsia" w:ascii="仿宋" w:hAnsi="仿宋" w:eastAsia="仿宋"/>
          <w:b w:val="0"/>
          <w:bCs/>
          <w:color w:val="auto"/>
          <w:sz w:val="32"/>
          <w:szCs w:val="32"/>
        </w:rPr>
        <w:t>决算数小于预算数的主要原因是</w:t>
      </w:r>
      <w:r>
        <w:rPr>
          <w:rStyle w:val="15"/>
          <w:rFonts w:hint="eastAsia" w:ascii="仿宋" w:hAnsi="仿宋" w:eastAsia="仿宋"/>
          <w:b w:val="0"/>
          <w:bCs/>
          <w:color w:val="auto"/>
          <w:sz w:val="32"/>
          <w:szCs w:val="32"/>
          <w:highlight w:val="none"/>
          <w:lang w:eastAsia="zh-CN"/>
        </w:rPr>
        <w:t>部分项目因进度未完成款项支付。</w:t>
      </w:r>
    </w:p>
    <w:p>
      <w:pPr>
        <w:spacing w:line="600" w:lineRule="exact"/>
        <w:ind w:firstLine="643" w:firstLineChars="200"/>
        <w:rPr>
          <w:rStyle w:val="15"/>
          <w:rFonts w:hint="eastAsia" w:ascii="仿宋" w:hAnsi="仿宋" w:eastAsia="仿宋"/>
          <w:b w:val="0"/>
          <w:bCs/>
          <w:color w:val="000000"/>
          <w:sz w:val="32"/>
          <w:szCs w:val="32"/>
        </w:rPr>
      </w:pPr>
      <w:r>
        <w:rPr>
          <w:rStyle w:val="15"/>
          <w:rFonts w:hint="eastAsia" w:ascii="仿宋" w:hAnsi="仿宋" w:eastAsia="仿宋"/>
          <w:bCs/>
          <w:color w:val="000000"/>
          <w:sz w:val="32"/>
          <w:szCs w:val="32"/>
          <w:lang w:val="en-US" w:eastAsia="zh-CN"/>
        </w:rPr>
        <w:t>7</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教育（类）</w:t>
      </w:r>
      <w:r>
        <w:rPr>
          <w:rStyle w:val="15"/>
          <w:rFonts w:hint="eastAsia" w:ascii="仿宋" w:hAnsi="仿宋" w:eastAsia="仿宋"/>
          <w:bCs/>
          <w:color w:val="000000"/>
          <w:sz w:val="32"/>
          <w:szCs w:val="32"/>
          <w:lang w:eastAsia="zh-CN"/>
        </w:rPr>
        <w:t>进修及培训</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教师进修</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36</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Style w:val="15"/>
          <w:rFonts w:hint="eastAsia" w:ascii="仿宋" w:hAnsi="仿宋" w:eastAsia="仿宋"/>
          <w:b w:val="0"/>
          <w:bCs/>
          <w:color w:val="000000"/>
          <w:sz w:val="32"/>
          <w:szCs w:val="32"/>
        </w:rPr>
      </w:pPr>
      <w:r>
        <w:rPr>
          <w:rStyle w:val="15"/>
          <w:rFonts w:hint="eastAsia" w:ascii="仿宋" w:hAnsi="仿宋" w:eastAsia="仿宋"/>
          <w:bCs/>
          <w:color w:val="auto"/>
          <w:sz w:val="32"/>
          <w:szCs w:val="32"/>
          <w:lang w:val="en-US" w:eastAsia="zh-CN"/>
        </w:rPr>
        <w:t>8</w:t>
      </w:r>
      <w:r>
        <w:rPr>
          <w:rStyle w:val="15"/>
          <w:rFonts w:ascii="仿宋" w:hAnsi="仿宋" w:eastAsia="仿宋"/>
          <w:bCs/>
          <w:color w:val="auto"/>
          <w:sz w:val="32"/>
          <w:szCs w:val="32"/>
        </w:rPr>
        <w:t>.</w:t>
      </w:r>
      <w:r>
        <w:rPr>
          <w:rStyle w:val="15"/>
          <w:rFonts w:hint="eastAsia" w:ascii="仿宋" w:hAnsi="仿宋" w:eastAsia="仿宋"/>
          <w:bCs/>
          <w:color w:val="auto"/>
          <w:sz w:val="32"/>
          <w:szCs w:val="32"/>
        </w:rPr>
        <w:t>教育（类）</w:t>
      </w:r>
      <w:r>
        <w:rPr>
          <w:rStyle w:val="15"/>
          <w:rFonts w:hint="eastAsia" w:ascii="仿宋" w:hAnsi="仿宋" w:eastAsia="仿宋"/>
          <w:bCs/>
          <w:color w:val="auto"/>
          <w:sz w:val="32"/>
          <w:szCs w:val="32"/>
          <w:lang w:eastAsia="zh-CN"/>
        </w:rPr>
        <w:t>教育费附加安排的支出</w:t>
      </w:r>
      <w:r>
        <w:rPr>
          <w:rStyle w:val="15"/>
          <w:rFonts w:hint="eastAsia" w:ascii="仿宋" w:hAnsi="仿宋" w:eastAsia="仿宋"/>
          <w:bCs/>
          <w:color w:val="auto"/>
          <w:sz w:val="32"/>
          <w:szCs w:val="32"/>
        </w:rPr>
        <w:t>（款）</w:t>
      </w:r>
      <w:r>
        <w:rPr>
          <w:rStyle w:val="15"/>
          <w:rFonts w:hint="eastAsia" w:ascii="仿宋" w:hAnsi="仿宋" w:eastAsia="仿宋"/>
          <w:bCs/>
          <w:color w:val="auto"/>
          <w:sz w:val="32"/>
          <w:szCs w:val="32"/>
          <w:lang w:eastAsia="zh-CN"/>
        </w:rPr>
        <w:t>其他教育费附加安排的支出（项）</w:t>
      </w:r>
      <w:r>
        <w:rPr>
          <w:rStyle w:val="15"/>
          <w:rFonts w:ascii="仿宋" w:hAnsi="仿宋" w:eastAsia="仿宋"/>
          <w:bCs/>
          <w:color w:val="auto"/>
          <w:sz w:val="36"/>
          <w:szCs w:val="36"/>
        </w:rPr>
        <w:t>:</w:t>
      </w:r>
      <w:r>
        <w:rPr>
          <w:rStyle w:val="15"/>
          <w:rFonts w:ascii="仿宋" w:hAnsi="仿宋" w:eastAsia="仿宋"/>
          <w:b w:val="0"/>
          <w:bCs/>
          <w:color w:val="auto"/>
          <w:sz w:val="36"/>
          <w:szCs w:val="36"/>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63.79</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84.26</w:t>
      </w:r>
      <w:r>
        <w:rPr>
          <w:rStyle w:val="15"/>
          <w:rFonts w:hint="eastAsia"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r>
        <w:rPr>
          <w:rStyle w:val="15"/>
          <w:rFonts w:hint="eastAsia" w:ascii="仿宋" w:hAnsi="仿宋" w:eastAsia="仿宋"/>
          <w:b w:val="0"/>
          <w:bCs/>
          <w:color w:val="000000"/>
          <w:sz w:val="32"/>
          <w:szCs w:val="32"/>
        </w:rPr>
        <w:t>决算数小于预算数的主要原因是聘用专项教练员暂无法落实，新聘后勤人员尚未发放工资。五通恒温泳池由于新周期备战伊始人员较少燃气使用量减少。</w:t>
      </w:r>
    </w:p>
    <w:p>
      <w:pPr>
        <w:spacing w:line="600" w:lineRule="exact"/>
        <w:ind w:firstLine="643" w:firstLineChars="200"/>
        <w:rPr>
          <w:rStyle w:val="15"/>
          <w:rFonts w:hint="eastAsia" w:ascii="仿宋" w:hAnsi="仿宋" w:eastAsia="仿宋"/>
          <w:b w:val="0"/>
          <w:bCs/>
          <w:color w:val="000000"/>
          <w:sz w:val="32"/>
          <w:szCs w:val="32"/>
        </w:rPr>
      </w:pPr>
      <w:r>
        <w:rPr>
          <w:rStyle w:val="15"/>
          <w:rFonts w:hint="eastAsia" w:ascii="仿宋" w:hAnsi="仿宋" w:eastAsia="仿宋"/>
          <w:bCs/>
          <w:color w:val="000000"/>
          <w:sz w:val="32"/>
          <w:szCs w:val="32"/>
          <w:lang w:val="en-US" w:eastAsia="zh-CN"/>
        </w:rPr>
        <w:t>9</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科学技术（类）</w:t>
      </w:r>
      <w:r>
        <w:rPr>
          <w:rStyle w:val="15"/>
          <w:rFonts w:hint="eastAsia" w:ascii="仿宋" w:hAnsi="仿宋" w:eastAsia="仿宋"/>
          <w:bCs/>
          <w:color w:val="000000"/>
          <w:sz w:val="32"/>
          <w:szCs w:val="32"/>
          <w:lang w:eastAsia="zh-CN"/>
        </w:rPr>
        <w:t>基础研究</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专项基础科研</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8</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Style w:val="15"/>
          <w:rFonts w:hint="eastAsia" w:ascii="仿宋" w:hAnsi="仿宋" w:eastAsia="仿宋"/>
          <w:b w:val="0"/>
          <w:bCs/>
          <w:color w:val="000000"/>
          <w:sz w:val="32"/>
          <w:szCs w:val="32"/>
        </w:rPr>
      </w:pPr>
      <w:r>
        <w:rPr>
          <w:rStyle w:val="15"/>
          <w:rFonts w:hint="eastAsia" w:ascii="仿宋" w:hAnsi="仿宋" w:eastAsia="仿宋"/>
          <w:bCs/>
          <w:color w:val="000000"/>
          <w:sz w:val="32"/>
          <w:szCs w:val="32"/>
          <w:lang w:val="en-US" w:eastAsia="zh-CN"/>
        </w:rPr>
        <w:t>10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科学技术（类）</w:t>
      </w:r>
      <w:r>
        <w:rPr>
          <w:rStyle w:val="15"/>
          <w:rFonts w:hint="eastAsia" w:ascii="仿宋" w:hAnsi="仿宋" w:eastAsia="仿宋"/>
          <w:bCs/>
          <w:color w:val="000000"/>
          <w:sz w:val="32"/>
          <w:szCs w:val="32"/>
          <w:lang w:eastAsia="zh-CN"/>
        </w:rPr>
        <w:t>技术研究与开发</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应用科技研究与开发</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0.05</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Style w:val="15"/>
          <w:rFonts w:hint="eastAsia" w:ascii="仿宋" w:hAnsi="仿宋" w:eastAsia="仿宋"/>
          <w:b w:val="0"/>
          <w:bCs/>
          <w:color w:val="000000"/>
          <w:sz w:val="32"/>
          <w:szCs w:val="32"/>
        </w:rPr>
      </w:pPr>
      <w:r>
        <w:rPr>
          <w:rStyle w:val="15"/>
          <w:rFonts w:hint="eastAsia" w:ascii="仿宋" w:hAnsi="仿宋" w:eastAsia="仿宋"/>
          <w:bCs/>
          <w:color w:val="000000"/>
          <w:sz w:val="32"/>
          <w:szCs w:val="32"/>
          <w:lang w:val="en-US" w:eastAsia="zh-CN"/>
        </w:rPr>
        <w:t>11</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科学技术（类）</w:t>
      </w:r>
      <w:r>
        <w:rPr>
          <w:rStyle w:val="15"/>
          <w:rFonts w:hint="eastAsia" w:ascii="仿宋" w:hAnsi="仿宋" w:eastAsia="仿宋"/>
          <w:bCs/>
          <w:color w:val="000000"/>
          <w:sz w:val="32"/>
          <w:szCs w:val="32"/>
          <w:lang w:eastAsia="zh-CN"/>
        </w:rPr>
        <w:t>技术研究与开发</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科技成果转化与扩散</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0.53</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Style w:val="15"/>
          <w:rFonts w:hint="eastAsia" w:ascii="仿宋" w:hAnsi="仿宋" w:eastAsia="仿宋"/>
          <w:b w:val="0"/>
          <w:bCs/>
          <w:color w:val="000000"/>
          <w:sz w:val="32"/>
          <w:szCs w:val="32"/>
        </w:rPr>
      </w:pPr>
      <w:r>
        <w:rPr>
          <w:rStyle w:val="15"/>
          <w:rFonts w:hint="eastAsia" w:ascii="仿宋" w:hAnsi="仿宋" w:eastAsia="仿宋"/>
          <w:bCs/>
          <w:color w:val="000000"/>
          <w:sz w:val="32"/>
          <w:szCs w:val="32"/>
          <w:lang w:val="en-US" w:eastAsia="zh-CN"/>
        </w:rPr>
        <w:t>12</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科学技术（类）</w:t>
      </w:r>
      <w:r>
        <w:rPr>
          <w:rStyle w:val="15"/>
          <w:rFonts w:hint="eastAsia" w:ascii="仿宋" w:hAnsi="仿宋" w:eastAsia="仿宋"/>
          <w:bCs/>
          <w:color w:val="000000"/>
          <w:sz w:val="32"/>
          <w:szCs w:val="32"/>
          <w:lang w:eastAsia="zh-CN"/>
        </w:rPr>
        <w:t>社会科学</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社会科学研究</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0.6</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Style w:val="15"/>
          <w:rFonts w:hint="eastAsia" w:ascii="仿宋" w:hAnsi="仿宋" w:eastAsia="仿宋"/>
          <w:b w:val="0"/>
          <w:bCs/>
          <w:color w:val="auto"/>
          <w:sz w:val="32"/>
          <w:szCs w:val="32"/>
        </w:rPr>
      </w:pPr>
      <w:r>
        <w:rPr>
          <w:rStyle w:val="15"/>
          <w:rFonts w:hint="eastAsia" w:ascii="仿宋" w:hAnsi="仿宋" w:eastAsia="仿宋"/>
          <w:bCs/>
          <w:color w:val="auto"/>
          <w:sz w:val="32"/>
          <w:szCs w:val="32"/>
          <w:lang w:val="en-US" w:eastAsia="zh-CN"/>
        </w:rPr>
        <w:t>13</w:t>
      </w:r>
      <w:r>
        <w:rPr>
          <w:rStyle w:val="15"/>
          <w:rFonts w:ascii="仿宋" w:hAnsi="仿宋" w:eastAsia="仿宋"/>
          <w:bCs/>
          <w:color w:val="auto"/>
          <w:sz w:val="32"/>
          <w:szCs w:val="32"/>
        </w:rPr>
        <w:t>.</w:t>
      </w:r>
      <w:r>
        <w:rPr>
          <w:rStyle w:val="15"/>
          <w:rFonts w:hint="eastAsia" w:ascii="仿宋" w:hAnsi="仿宋" w:eastAsia="仿宋"/>
          <w:bCs/>
          <w:color w:val="auto"/>
          <w:sz w:val="32"/>
          <w:szCs w:val="32"/>
        </w:rPr>
        <w:t>科学技术（类）</w:t>
      </w:r>
      <w:r>
        <w:rPr>
          <w:rStyle w:val="15"/>
          <w:rFonts w:hint="eastAsia" w:ascii="仿宋" w:hAnsi="仿宋" w:eastAsia="仿宋"/>
          <w:bCs/>
          <w:color w:val="auto"/>
          <w:sz w:val="32"/>
          <w:szCs w:val="32"/>
          <w:lang w:eastAsia="zh-CN"/>
        </w:rPr>
        <w:t>其他科学技术支出</w:t>
      </w:r>
      <w:r>
        <w:rPr>
          <w:rStyle w:val="15"/>
          <w:rFonts w:hint="eastAsia" w:ascii="仿宋" w:hAnsi="仿宋" w:eastAsia="仿宋"/>
          <w:bCs/>
          <w:color w:val="auto"/>
          <w:sz w:val="32"/>
          <w:szCs w:val="32"/>
        </w:rPr>
        <w:t>（款）</w:t>
      </w:r>
      <w:r>
        <w:rPr>
          <w:rStyle w:val="15"/>
          <w:rFonts w:hint="eastAsia" w:ascii="仿宋" w:hAnsi="仿宋" w:eastAsia="仿宋"/>
          <w:bCs/>
          <w:color w:val="auto"/>
          <w:sz w:val="32"/>
          <w:szCs w:val="32"/>
          <w:lang w:eastAsia="zh-CN"/>
        </w:rPr>
        <w:t>其他科学技术支出</w:t>
      </w:r>
      <w:r>
        <w:rPr>
          <w:rStyle w:val="15"/>
          <w:rFonts w:hint="eastAsia" w:ascii="仿宋" w:hAnsi="仿宋" w:eastAsia="仿宋"/>
          <w:bCs/>
          <w:color w:val="auto"/>
          <w:sz w:val="32"/>
          <w:szCs w:val="32"/>
        </w:rPr>
        <w:t>（项）</w:t>
      </w:r>
      <w:r>
        <w:rPr>
          <w:rStyle w:val="15"/>
          <w:rFonts w:ascii="仿宋" w:hAnsi="仿宋" w:eastAsia="仿宋"/>
          <w:bCs/>
          <w:color w:val="auto"/>
          <w:sz w:val="32"/>
          <w:szCs w:val="32"/>
        </w:rPr>
        <w:t>:</w:t>
      </w:r>
      <w:r>
        <w:rPr>
          <w:rStyle w:val="15"/>
          <w:rFonts w:ascii="仿宋" w:hAnsi="仿宋" w:eastAsia="仿宋"/>
          <w:b w:val="0"/>
          <w:bCs/>
          <w:color w:val="auto"/>
          <w:sz w:val="32"/>
          <w:szCs w:val="32"/>
        </w:rPr>
        <w:t xml:space="preserve"> </w:t>
      </w:r>
      <w:r>
        <w:rPr>
          <w:rStyle w:val="15"/>
          <w:rFonts w:hint="eastAsia" w:ascii="仿宋" w:hAnsi="仿宋" w:eastAsia="仿宋"/>
          <w:b w:val="0"/>
          <w:bCs/>
          <w:color w:val="auto"/>
          <w:sz w:val="32"/>
          <w:szCs w:val="32"/>
        </w:rPr>
        <w:t>支出决算为</w:t>
      </w:r>
      <w:r>
        <w:rPr>
          <w:rStyle w:val="15"/>
          <w:rFonts w:hint="eastAsia" w:ascii="仿宋" w:hAnsi="仿宋" w:eastAsia="仿宋"/>
          <w:b w:val="0"/>
          <w:bCs/>
          <w:color w:val="auto"/>
          <w:sz w:val="32"/>
          <w:szCs w:val="32"/>
          <w:lang w:val="en-US" w:eastAsia="zh-CN"/>
        </w:rPr>
        <w:t>20</w:t>
      </w:r>
      <w:r>
        <w:rPr>
          <w:rStyle w:val="15"/>
          <w:rFonts w:hint="eastAsia" w:ascii="仿宋" w:hAnsi="仿宋" w:eastAsia="仿宋"/>
          <w:b w:val="0"/>
          <w:bCs/>
          <w:color w:val="auto"/>
          <w:sz w:val="32"/>
          <w:szCs w:val="32"/>
        </w:rPr>
        <w:t>万元，完成预算</w:t>
      </w:r>
      <w:r>
        <w:rPr>
          <w:rStyle w:val="15"/>
          <w:rFonts w:hint="eastAsia" w:ascii="仿宋" w:hAnsi="仿宋" w:eastAsia="仿宋"/>
          <w:b w:val="0"/>
          <w:bCs/>
          <w:color w:val="auto"/>
          <w:sz w:val="32"/>
          <w:szCs w:val="32"/>
          <w:lang w:val="en-US" w:eastAsia="zh-CN"/>
        </w:rPr>
        <w:t>80</w:t>
      </w:r>
      <w:r>
        <w:rPr>
          <w:rStyle w:val="15"/>
          <w:rFonts w:ascii="仿宋" w:hAnsi="仿宋" w:eastAsia="仿宋"/>
          <w:b w:val="0"/>
          <w:bCs/>
          <w:color w:val="auto"/>
          <w:sz w:val="32"/>
          <w:szCs w:val="32"/>
        </w:rPr>
        <w:t>%</w:t>
      </w:r>
      <w:r>
        <w:rPr>
          <w:rStyle w:val="15"/>
          <w:rFonts w:hint="eastAsia" w:ascii="仿宋" w:hAnsi="仿宋" w:eastAsia="仿宋"/>
          <w:b w:val="0"/>
          <w:bCs/>
          <w:color w:val="auto"/>
          <w:sz w:val="32"/>
          <w:szCs w:val="32"/>
          <w:lang w:eastAsia="zh-CN"/>
        </w:rPr>
        <w:t>，</w:t>
      </w:r>
      <w:r>
        <w:rPr>
          <w:rStyle w:val="15"/>
          <w:rFonts w:hint="eastAsia" w:ascii="仿宋" w:hAnsi="仿宋" w:eastAsia="仿宋"/>
          <w:b w:val="0"/>
          <w:bCs/>
          <w:color w:val="auto"/>
          <w:sz w:val="32"/>
          <w:szCs w:val="32"/>
        </w:rPr>
        <w:t>决算数小于预算数的主要原因是</w:t>
      </w:r>
      <w:r>
        <w:rPr>
          <w:rStyle w:val="15"/>
          <w:rFonts w:hint="eastAsia" w:ascii="仿宋" w:hAnsi="仿宋" w:eastAsia="仿宋"/>
          <w:b w:val="0"/>
          <w:bCs/>
          <w:color w:val="auto"/>
          <w:sz w:val="32"/>
          <w:szCs w:val="32"/>
          <w:lang w:eastAsia="zh-CN"/>
        </w:rPr>
        <w:t>科研项目</w:t>
      </w:r>
      <w:r>
        <w:rPr>
          <w:rStyle w:val="15"/>
          <w:rFonts w:hint="eastAsia" w:ascii="仿宋" w:hAnsi="仿宋" w:eastAsia="仿宋"/>
          <w:b w:val="0"/>
          <w:bCs/>
          <w:color w:val="auto"/>
          <w:sz w:val="32"/>
          <w:szCs w:val="32"/>
          <w:lang w:val="en-US" w:eastAsia="zh-CN"/>
        </w:rPr>
        <w:t>经费未使用</w:t>
      </w:r>
      <w:r>
        <w:rPr>
          <w:rStyle w:val="15"/>
          <w:rFonts w:hint="eastAsia" w:ascii="仿宋" w:hAnsi="仿宋" w:eastAsia="仿宋"/>
          <w:b w:val="0"/>
          <w:bCs/>
          <w:color w:val="auto"/>
          <w:sz w:val="32"/>
          <w:szCs w:val="32"/>
        </w:rPr>
        <w:t>。</w:t>
      </w:r>
    </w:p>
    <w:p>
      <w:pPr>
        <w:spacing w:line="600" w:lineRule="exact"/>
        <w:ind w:firstLine="643" w:firstLineChars="200"/>
        <w:rPr>
          <w:rStyle w:val="15"/>
          <w:rFonts w:hint="eastAsia" w:ascii="仿宋" w:hAnsi="仿宋" w:eastAsia="仿宋"/>
          <w:b w:val="0"/>
          <w:bCs/>
          <w:color w:val="000000"/>
          <w:sz w:val="32"/>
          <w:szCs w:val="32"/>
        </w:rPr>
      </w:pPr>
      <w:r>
        <w:rPr>
          <w:rStyle w:val="15"/>
          <w:rFonts w:hint="eastAsia" w:ascii="仿宋" w:hAnsi="仿宋" w:eastAsia="仿宋"/>
          <w:bCs/>
          <w:color w:val="000000"/>
          <w:sz w:val="32"/>
          <w:szCs w:val="32"/>
          <w:lang w:val="en-US" w:eastAsia="zh-CN"/>
        </w:rPr>
        <w:t>14</w:t>
      </w:r>
      <w:r>
        <w:rPr>
          <w:rStyle w:val="15"/>
          <w:rFonts w:ascii="仿宋" w:hAnsi="仿宋" w:eastAsia="仿宋"/>
          <w:bCs/>
          <w:color w:val="000000"/>
          <w:sz w:val="32"/>
          <w:szCs w:val="32"/>
        </w:rPr>
        <w:t>.</w:t>
      </w:r>
      <w:r>
        <w:rPr>
          <w:rStyle w:val="15"/>
          <w:rFonts w:hint="eastAsia" w:ascii="仿宋" w:hAnsi="仿宋" w:eastAsia="仿宋"/>
          <w:bCs/>
          <w:color w:val="000000"/>
          <w:sz w:val="32"/>
          <w:szCs w:val="32"/>
          <w:lang w:eastAsia="zh-CN"/>
        </w:rPr>
        <w:t>文化旅游体育与传媒</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eastAsia="zh-CN"/>
        </w:rPr>
        <w:t>体育</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运动项目管理</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3</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Style w:val="15"/>
          <w:rFonts w:hint="eastAsia" w:ascii="仿宋" w:hAnsi="仿宋" w:eastAsia="仿宋"/>
          <w:b w:val="0"/>
          <w:bCs/>
          <w:color w:val="000000"/>
          <w:sz w:val="32"/>
          <w:szCs w:val="32"/>
        </w:rPr>
      </w:pPr>
      <w:r>
        <w:rPr>
          <w:rStyle w:val="15"/>
          <w:rFonts w:hint="eastAsia" w:ascii="仿宋" w:hAnsi="仿宋" w:eastAsia="仿宋"/>
          <w:bCs/>
          <w:color w:val="000000"/>
          <w:sz w:val="32"/>
          <w:szCs w:val="32"/>
          <w:lang w:val="en-US" w:eastAsia="zh-CN"/>
        </w:rPr>
        <w:t>15</w:t>
      </w:r>
      <w:r>
        <w:rPr>
          <w:rStyle w:val="15"/>
          <w:rFonts w:ascii="仿宋" w:hAnsi="仿宋" w:eastAsia="仿宋"/>
          <w:bCs/>
          <w:color w:val="000000"/>
          <w:sz w:val="32"/>
          <w:szCs w:val="32"/>
        </w:rPr>
        <w:t>.</w:t>
      </w:r>
      <w:r>
        <w:rPr>
          <w:rStyle w:val="15"/>
          <w:rFonts w:hint="eastAsia" w:ascii="仿宋" w:hAnsi="仿宋" w:eastAsia="仿宋"/>
          <w:bCs/>
          <w:color w:val="000000"/>
          <w:sz w:val="32"/>
          <w:szCs w:val="32"/>
          <w:lang w:eastAsia="zh-CN"/>
        </w:rPr>
        <w:t>文化旅游体育与传媒</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eastAsia="zh-CN"/>
        </w:rPr>
        <w:t>体育</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其他体育支出</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100.55</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Style w:val="15"/>
          <w:rFonts w:hint="eastAsia" w:ascii="仿宋" w:hAnsi="仿宋" w:eastAsia="仿宋"/>
          <w:b w:val="0"/>
          <w:bCs/>
          <w:color w:val="000000"/>
          <w:sz w:val="32"/>
          <w:szCs w:val="32"/>
        </w:rPr>
      </w:pPr>
      <w:r>
        <w:rPr>
          <w:rStyle w:val="15"/>
          <w:rFonts w:hint="eastAsia" w:ascii="仿宋" w:hAnsi="仿宋" w:eastAsia="仿宋"/>
          <w:bCs/>
          <w:color w:val="000000"/>
          <w:sz w:val="32"/>
          <w:szCs w:val="32"/>
          <w:lang w:val="en-US" w:eastAsia="zh-CN"/>
        </w:rPr>
        <w:t>16</w:t>
      </w:r>
      <w:r>
        <w:rPr>
          <w:rStyle w:val="15"/>
          <w:rFonts w:ascii="仿宋" w:hAnsi="仿宋" w:eastAsia="仿宋"/>
          <w:bCs/>
          <w:color w:val="000000"/>
          <w:sz w:val="32"/>
          <w:szCs w:val="32"/>
        </w:rPr>
        <w:t>.</w:t>
      </w:r>
      <w:r>
        <w:rPr>
          <w:rStyle w:val="15"/>
          <w:rFonts w:hint="eastAsia" w:ascii="仿宋" w:hAnsi="仿宋" w:eastAsia="仿宋"/>
          <w:bCs/>
          <w:color w:val="000000"/>
          <w:sz w:val="32"/>
          <w:szCs w:val="32"/>
          <w:lang w:eastAsia="zh-CN"/>
        </w:rPr>
        <w:t>社会保障和就业</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eastAsia="zh-CN"/>
        </w:rPr>
        <w:t>人力资源和社会保障管理事务</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综合业务管理</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10</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17</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社会保障和就业（类）</w:t>
      </w:r>
      <w:r>
        <w:rPr>
          <w:rStyle w:val="15"/>
          <w:rFonts w:hint="eastAsia" w:ascii="仿宋" w:hAnsi="仿宋" w:eastAsia="仿宋"/>
          <w:bCs/>
          <w:color w:val="000000"/>
          <w:sz w:val="32"/>
          <w:szCs w:val="32"/>
          <w:lang w:eastAsia="zh-CN"/>
        </w:rPr>
        <w:t>行政事业单位离退休</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机关事业单位基本养老保险缴费支出</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76.12</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p>
    <w:p>
      <w:pPr>
        <w:spacing w:line="600" w:lineRule="exact"/>
        <w:ind w:firstLine="643" w:firstLineChars="20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18</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社会保障和就业（类）</w:t>
      </w:r>
      <w:r>
        <w:rPr>
          <w:rStyle w:val="15"/>
          <w:rFonts w:hint="eastAsia" w:ascii="仿宋" w:hAnsi="仿宋" w:eastAsia="仿宋"/>
          <w:bCs/>
          <w:color w:val="000000"/>
          <w:sz w:val="32"/>
          <w:szCs w:val="32"/>
          <w:lang w:eastAsia="zh-CN"/>
        </w:rPr>
        <w:t>行政事业单位离退休</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机关事业单位职业年金缴费支出</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33.61</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p>
    <w:p>
      <w:pPr>
        <w:spacing w:line="600" w:lineRule="exact"/>
        <w:ind w:firstLine="643" w:firstLineChars="20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19</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社会保障和就业（类）</w:t>
      </w:r>
      <w:r>
        <w:rPr>
          <w:rStyle w:val="15"/>
          <w:rFonts w:hint="eastAsia" w:ascii="仿宋" w:hAnsi="仿宋" w:eastAsia="仿宋"/>
          <w:bCs/>
          <w:color w:val="000000"/>
          <w:sz w:val="32"/>
          <w:szCs w:val="32"/>
          <w:lang w:eastAsia="zh-CN"/>
        </w:rPr>
        <w:t>行政事业单位离退休</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其他行政事业单位离退休支出</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32.22</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p>
    <w:p>
      <w:pPr>
        <w:spacing w:line="600" w:lineRule="exact"/>
        <w:ind w:firstLine="643" w:firstLineChars="200"/>
        <w:rPr>
          <w:rStyle w:val="15"/>
          <w:rFonts w:hint="eastAsia" w:ascii="仿宋" w:hAnsi="仿宋" w:eastAsia="仿宋"/>
          <w:b w:val="0"/>
          <w:bCs/>
          <w:color w:val="000000"/>
          <w:sz w:val="32"/>
          <w:szCs w:val="32"/>
        </w:rPr>
      </w:pPr>
      <w:r>
        <w:rPr>
          <w:rStyle w:val="15"/>
          <w:rFonts w:hint="eastAsia" w:ascii="仿宋" w:hAnsi="仿宋" w:eastAsia="仿宋"/>
          <w:bCs/>
          <w:color w:val="000000"/>
          <w:sz w:val="32"/>
          <w:szCs w:val="32"/>
          <w:lang w:val="en-US" w:eastAsia="zh-CN"/>
        </w:rPr>
        <w:t>20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社会保障和就业（类）</w:t>
      </w:r>
      <w:r>
        <w:rPr>
          <w:rStyle w:val="15"/>
          <w:rFonts w:hint="eastAsia" w:ascii="仿宋" w:hAnsi="仿宋" w:eastAsia="仿宋"/>
          <w:bCs/>
          <w:color w:val="000000"/>
          <w:sz w:val="32"/>
          <w:szCs w:val="32"/>
          <w:lang w:eastAsia="zh-CN"/>
        </w:rPr>
        <w:t>抚恤</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死亡抚恤</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79.3</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Style w:val="15"/>
          <w:rFonts w:hint="eastAsia" w:ascii="仿宋" w:hAnsi="仿宋" w:eastAsia="仿宋"/>
          <w:b w:val="0"/>
          <w:bCs/>
          <w:color w:val="000000"/>
          <w:sz w:val="32"/>
          <w:szCs w:val="32"/>
        </w:rPr>
      </w:pPr>
      <w:r>
        <w:rPr>
          <w:rStyle w:val="15"/>
          <w:rFonts w:hint="eastAsia" w:ascii="仿宋" w:hAnsi="仿宋" w:eastAsia="仿宋"/>
          <w:bCs/>
          <w:color w:val="000000"/>
          <w:sz w:val="32"/>
          <w:szCs w:val="32"/>
          <w:lang w:val="en-US" w:eastAsia="zh-CN"/>
        </w:rPr>
        <w:t>21</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社会保障和就业（类）</w:t>
      </w:r>
      <w:r>
        <w:rPr>
          <w:rStyle w:val="15"/>
          <w:rFonts w:hint="eastAsia" w:ascii="仿宋" w:hAnsi="仿宋" w:eastAsia="仿宋"/>
          <w:bCs/>
          <w:color w:val="000000"/>
          <w:sz w:val="32"/>
          <w:szCs w:val="32"/>
          <w:lang w:eastAsia="zh-CN"/>
        </w:rPr>
        <w:t>其他生活救助</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其他城市生活救助</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162.55</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82.09</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r>
        <w:rPr>
          <w:rStyle w:val="15"/>
          <w:rFonts w:hint="eastAsia" w:ascii="仿宋" w:hAnsi="仿宋" w:eastAsia="仿宋"/>
          <w:b w:val="0"/>
          <w:bCs/>
          <w:color w:val="000000"/>
          <w:sz w:val="32"/>
          <w:szCs w:val="32"/>
        </w:rPr>
        <w:t>决算数小于预算数的主要原因是</w:t>
      </w:r>
      <w:r>
        <w:rPr>
          <w:rStyle w:val="15"/>
          <w:rFonts w:hint="eastAsia" w:ascii="仿宋" w:hAnsi="仿宋" w:eastAsia="仿宋"/>
          <w:b w:val="0"/>
          <w:bCs/>
          <w:color w:val="000000"/>
          <w:sz w:val="32"/>
          <w:szCs w:val="32"/>
          <w:lang w:eastAsia="zh-CN"/>
        </w:rPr>
        <w:t>部分月份的</w:t>
      </w:r>
      <w:r>
        <w:rPr>
          <w:rStyle w:val="15"/>
          <w:rFonts w:hint="eastAsia" w:ascii="仿宋" w:hAnsi="仿宋" w:eastAsia="仿宋"/>
          <w:b w:val="0"/>
          <w:bCs/>
          <w:color w:val="000000"/>
          <w:sz w:val="32"/>
          <w:szCs w:val="32"/>
        </w:rPr>
        <w:t>学生价格临时补贴</w:t>
      </w:r>
      <w:r>
        <w:rPr>
          <w:rStyle w:val="15"/>
          <w:rFonts w:hint="eastAsia" w:ascii="仿宋" w:hAnsi="仿宋" w:eastAsia="仿宋"/>
          <w:b w:val="0"/>
          <w:bCs/>
          <w:color w:val="000000"/>
          <w:sz w:val="32"/>
          <w:szCs w:val="32"/>
          <w:lang w:eastAsia="zh-CN"/>
        </w:rPr>
        <w:t>在</w:t>
      </w:r>
      <w:r>
        <w:rPr>
          <w:rStyle w:val="15"/>
          <w:rFonts w:hint="eastAsia" w:ascii="仿宋" w:hAnsi="仿宋" w:eastAsia="仿宋"/>
          <w:b w:val="0"/>
          <w:bCs/>
          <w:color w:val="000000"/>
          <w:sz w:val="32"/>
          <w:szCs w:val="32"/>
          <w:lang w:val="en-US" w:eastAsia="zh-CN"/>
        </w:rPr>
        <w:t>2020年完成支付</w:t>
      </w:r>
      <w:r>
        <w:rPr>
          <w:rStyle w:val="15"/>
          <w:rFonts w:hint="eastAsia" w:ascii="仿宋" w:hAnsi="仿宋" w:eastAsia="仿宋"/>
          <w:b w:val="0"/>
          <w:bCs/>
          <w:color w:val="000000"/>
          <w:sz w:val="32"/>
          <w:szCs w:val="32"/>
        </w:rPr>
        <w:t>。</w:t>
      </w:r>
    </w:p>
    <w:p>
      <w:pPr>
        <w:spacing w:line="600" w:lineRule="exact"/>
        <w:ind w:firstLine="643" w:firstLineChars="200"/>
        <w:rPr>
          <w:rStyle w:val="15"/>
          <w:rFonts w:hint="eastAsia" w:ascii="仿宋" w:hAnsi="仿宋" w:eastAsia="仿宋"/>
          <w:b w:val="0"/>
          <w:bCs/>
          <w:color w:val="000000"/>
          <w:sz w:val="32"/>
          <w:szCs w:val="32"/>
        </w:rPr>
      </w:pPr>
      <w:r>
        <w:rPr>
          <w:rStyle w:val="15"/>
          <w:rFonts w:hint="eastAsia" w:ascii="仿宋" w:hAnsi="仿宋" w:eastAsia="仿宋"/>
          <w:bCs/>
          <w:color w:val="000000"/>
          <w:sz w:val="32"/>
          <w:szCs w:val="32"/>
          <w:lang w:val="en-US" w:eastAsia="zh-CN"/>
        </w:rPr>
        <w:t>22</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社会保障和就业（类）</w:t>
      </w:r>
      <w:r>
        <w:rPr>
          <w:rStyle w:val="15"/>
          <w:rFonts w:hint="eastAsia" w:ascii="仿宋" w:hAnsi="仿宋" w:eastAsia="仿宋"/>
          <w:bCs/>
          <w:color w:val="000000"/>
          <w:sz w:val="32"/>
          <w:szCs w:val="32"/>
          <w:lang w:eastAsia="zh-CN"/>
        </w:rPr>
        <w:t>其他社会保障和就业支出</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其他社会保障和就业支出</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8.39</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p>
    <w:p>
      <w:pPr>
        <w:spacing w:line="600" w:lineRule="exact"/>
        <w:ind w:firstLine="643" w:firstLineChars="200"/>
        <w:rPr>
          <w:rStyle w:val="15"/>
          <w:rFonts w:hint="eastAsia" w:ascii="仿宋" w:hAnsi="仿宋" w:eastAsia="仿宋"/>
          <w:b w:val="0"/>
          <w:bCs/>
          <w:color w:val="000000"/>
          <w:sz w:val="32"/>
          <w:szCs w:val="32"/>
          <w:lang w:eastAsia="zh-CN"/>
        </w:rPr>
      </w:pPr>
      <w:r>
        <w:rPr>
          <w:rStyle w:val="15"/>
          <w:rFonts w:hint="eastAsia" w:ascii="仿宋" w:hAnsi="仿宋" w:eastAsia="仿宋"/>
          <w:bCs/>
          <w:color w:val="000000"/>
          <w:sz w:val="32"/>
          <w:szCs w:val="32"/>
          <w:lang w:val="en-US" w:eastAsia="zh-CN"/>
        </w:rPr>
        <w:t>23</w:t>
      </w:r>
      <w:r>
        <w:rPr>
          <w:rStyle w:val="15"/>
          <w:rFonts w:ascii="仿宋" w:hAnsi="仿宋" w:eastAsia="仿宋"/>
          <w:bCs/>
          <w:color w:val="000000"/>
          <w:sz w:val="32"/>
          <w:szCs w:val="32"/>
        </w:rPr>
        <w:t>.</w:t>
      </w:r>
      <w:r>
        <w:rPr>
          <w:rStyle w:val="15"/>
          <w:rFonts w:hint="eastAsia" w:ascii="仿宋" w:hAnsi="仿宋" w:eastAsia="仿宋"/>
          <w:bCs/>
          <w:color w:val="000000"/>
          <w:sz w:val="32"/>
          <w:szCs w:val="32"/>
          <w:lang w:eastAsia="zh-CN"/>
        </w:rPr>
        <w:t>卫生健康</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eastAsia="zh-CN"/>
        </w:rPr>
        <w:t>公立医院</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综合医院</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70</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p>
    <w:p>
      <w:pPr>
        <w:spacing w:line="600" w:lineRule="exact"/>
        <w:ind w:firstLine="643" w:firstLineChars="200"/>
        <w:rPr>
          <w:rStyle w:val="15"/>
          <w:rFonts w:hint="eastAsia" w:ascii="仿宋" w:hAnsi="仿宋" w:eastAsia="仿宋"/>
          <w:b w:val="0"/>
          <w:bCs/>
          <w:color w:val="auto"/>
          <w:sz w:val="32"/>
          <w:szCs w:val="32"/>
        </w:rPr>
      </w:pPr>
      <w:r>
        <w:rPr>
          <w:rStyle w:val="15"/>
          <w:rFonts w:hint="eastAsia" w:ascii="仿宋" w:hAnsi="仿宋" w:eastAsia="仿宋"/>
          <w:bCs/>
          <w:color w:val="auto"/>
          <w:sz w:val="32"/>
          <w:szCs w:val="32"/>
          <w:lang w:val="en-US" w:eastAsia="zh-CN"/>
        </w:rPr>
        <w:t>24</w:t>
      </w:r>
      <w:r>
        <w:rPr>
          <w:rStyle w:val="15"/>
          <w:rFonts w:ascii="仿宋" w:hAnsi="仿宋" w:eastAsia="仿宋"/>
          <w:bCs/>
          <w:color w:val="auto"/>
          <w:sz w:val="32"/>
          <w:szCs w:val="32"/>
        </w:rPr>
        <w:t>.</w:t>
      </w:r>
      <w:r>
        <w:rPr>
          <w:rStyle w:val="15"/>
          <w:rFonts w:hint="eastAsia" w:ascii="仿宋" w:hAnsi="仿宋" w:eastAsia="仿宋"/>
          <w:bCs/>
          <w:color w:val="auto"/>
          <w:sz w:val="32"/>
          <w:szCs w:val="32"/>
          <w:lang w:eastAsia="zh-CN"/>
        </w:rPr>
        <w:t>卫生健康</w:t>
      </w:r>
      <w:r>
        <w:rPr>
          <w:rStyle w:val="15"/>
          <w:rFonts w:hint="eastAsia" w:ascii="仿宋" w:hAnsi="仿宋" w:eastAsia="仿宋"/>
          <w:bCs/>
          <w:color w:val="auto"/>
          <w:sz w:val="32"/>
          <w:szCs w:val="32"/>
        </w:rPr>
        <w:t>（类）</w:t>
      </w:r>
      <w:r>
        <w:rPr>
          <w:rStyle w:val="15"/>
          <w:rFonts w:hint="eastAsia" w:ascii="仿宋" w:hAnsi="仿宋" w:eastAsia="仿宋"/>
          <w:bCs/>
          <w:color w:val="auto"/>
          <w:sz w:val="32"/>
          <w:szCs w:val="32"/>
          <w:lang w:eastAsia="zh-CN"/>
        </w:rPr>
        <w:t>公立医院</w:t>
      </w:r>
      <w:r>
        <w:rPr>
          <w:rStyle w:val="15"/>
          <w:rFonts w:hint="eastAsia" w:ascii="仿宋" w:hAnsi="仿宋" w:eastAsia="仿宋"/>
          <w:bCs/>
          <w:color w:val="auto"/>
          <w:sz w:val="32"/>
          <w:szCs w:val="32"/>
        </w:rPr>
        <w:t>（款）</w:t>
      </w:r>
      <w:r>
        <w:rPr>
          <w:rStyle w:val="15"/>
          <w:rFonts w:hint="eastAsia" w:ascii="仿宋" w:hAnsi="仿宋" w:eastAsia="仿宋"/>
          <w:bCs/>
          <w:color w:val="auto"/>
          <w:sz w:val="32"/>
          <w:szCs w:val="32"/>
          <w:lang w:eastAsia="zh-CN"/>
        </w:rPr>
        <w:t>其他公立医院支出</w:t>
      </w:r>
      <w:r>
        <w:rPr>
          <w:rStyle w:val="15"/>
          <w:rFonts w:hint="eastAsia" w:ascii="仿宋" w:hAnsi="仿宋" w:eastAsia="仿宋"/>
          <w:bCs/>
          <w:color w:val="auto"/>
          <w:sz w:val="32"/>
          <w:szCs w:val="32"/>
        </w:rPr>
        <w:t>（项）</w:t>
      </w:r>
      <w:r>
        <w:rPr>
          <w:rStyle w:val="15"/>
          <w:rFonts w:ascii="仿宋" w:hAnsi="仿宋" w:eastAsia="仿宋"/>
          <w:bCs/>
          <w:color w:val="auto"/>
          <w:sz w:val="32"/>
          <w:szCs w:val="32"/>
        </w:rPr>
        <w:t>:</w:t>
      </w:r>
      <w:r>
        <w:rPr>
          <w:rStyle w:val="15"/>
          <w:rFonts w:ascii="仿宋" w:hAnsi="仿宋" w:eastAsia="仿宋"/>
          <w:b w:val="0"/>
          <w:bCs/>
          <w:color w:val="FF0000"/>
          <w:sz w:val="32"/>
          <w:szCs w:val="32"/>
        </w:rPr>
        <w:t xml:space="preserve"> </w:t>
      </w:r>
      <w:r>
        <w:rPr>
          <w:rStyle w:val="15"/>
          <w:rFonts w:hint="eastAsia" w:ascii="仿宋" w:hAnsi="仿宋" w:eastAsia="仿宋"/>
          <w:b w:val="0"/>
          <w:bCs/>
          <w:color w:val="auto"/>
          <w:sz w:val="32"/>
          <w:szCs w:val="32"/>
        </w:rPr>
        <w:t>支出决算为</w:t>
      </w:r>
      <w:r>
        <w:rPr>
          <w:rStyle w:val="15"/>
          <w:rFonts w:hint="eastAsia" w:ascii="仿宋" w:hAnsi="仿宋" w:eastAsia="仿宋"/>
          <w:b w:val="0"/>
          <w:bCs/>
          <w:color w:val="auto"/>
          <w:sz w:val="32"/>
          <w:szCs w:val="32"/>
          <w:lang w:val="en-US" w:eastAsia="zh-CN"/>
        </w:rPr>
        <w:t>700</w:t>
      </w:r>
      <w:r>
        <w:rPr>
          <w:rStyle w:val="15"/>
          <w:rFonts w:hint="eastAsia" w:ascii="仿宋" w:hAnsi="仿宋" w:eastAsia="仿宋"/>
          <w:b w:val="0"/>
          <w:bCs/>
          <w:color w:val="auto"/>
          <w:sz w:val="32"/>
          <w:szCs w:val="32"/>
        </w:rPr>
        <w:t>万元，完成预算</w:t>
      </w:r>
      <w:r>
        <w:rPr>
          <w:rStyle w:val="15"/>
          <w:rFonts w:hint="eastAsia" w:ascii="仿宋" w:hAnsi="仿宋" w:eastAsia="仿宋"/>
          <w:b w:val="0"/>
          <w:bCs/>
          <w:color w:val="auto"/>
          <w:sz w:val="32"/>
          <w:szCs w:val="32"/>
          <w:lang w:val="en-US" w:eastAsia="zh-CN"/>
        </w:rPr>
        <w:t>97.55</w:t>
      </w:r>
      <w:r>
        <w:rPr>
          <w:rStyle w:val="15"/>
          <w:rFonts w:ascii="仿宋" w:hAnsi="仿宋" w:eastAsia="仿宋"/>
          <w:b w:val="0"/>
          <w:bCs/>
          <w:color w:val="auto"/>
          <w:sz w:val="32"/>
          <w:szCs w:val="32"/>
        </w:rPr>
        <w:t>%</w:t>
      </w:r>
      <w:r>
        <w:rPr>
          <w:rStyle w:val="15"/>
          <w:rFonts w:hint="eastAsia" w:ascii="仿宋" w:hAnsi="仿宋" w:eastAsia="仿宋"/>
          <w:b w:val="0"/>
          <w:bCs/>
          <w:color w:val="auto"/>
          <w:sz w:val="32"/>
          <w:szCs w:val="32"/>
          <w:lang w:eastAsia="zh-CN"/>
        </w:rPr>
        <w:t>，</w:t>
      </w:r>
      <w:r>
        <w:rPr>
          <w:rStyle w:val="15"/>
          <w:rFonts w:hint="eastAsia" w:ascii="仿宋" w:hAnsi="仿宋" w:eastAsia="仿宋"/>
          <w:b w:val="0"/>
          <w:bCs/>
          <w:color w:val="auto"/>
          <w:sz w:val="32"/>
          <w:szCs w:val="32"/>
        </w:rPr>
        <w:t>决算数小于预算数的主要原因是</w:t>
      </w:r>
      <w:r>
        <w:rPr>
          <w:rStyle w:val="15"/>
          <w:rFonts w:hint="eastAsia" w:ascii="仿宋" w:hAnsi="仿宋" w:eastAsia="仿宋"/>
          <w:b w:val="0"/>
          <w:bCs/>
          <w:color w:val="auto"/>
          <w:sz w:val="32"/>
          <w:szCs w:val="32"/>
          <w:lang w:eastAsia="zh-CN"/>
        </w:rPr>
        <w:t>指标年底下达，已结转到第二年使用</w:t>
      </w:r>
      <w:r>
        <w:rPr>
          <w:rStyle w:val="15"/>
          <w:rFonts w:hint="eastAsia" w:ascii="仿宋" w:hAnsi="仿宋" w:eastAsia="仿宋"/>
          <w:b w:val="0"/>
          <w:bCs/>
          <w:color w:val="auto"/>
          <w:sz w:val="32"/>
          <w:szCs w:val="32"/>
        </w:rPr>
        <w:t>。</w:t>
      </w:r>
    </w:p>
    <w:p>
      <w:pPr>
        <w:spacing w:line="600" w:lineRule="exact"/>
        <w:ind w:firstLine="643" w:firstLineChars="200"/>
        <w:rPr>
          <w:rStyle w:val="15"/>
          <w:rFonts w:hint="eastAsia" w:ascii="仿宋" w:hAnsi="仿宋" w:eastAsia="仿宋"/>
          <w:b w:val="0"/>
          <w:bCs/>
          <w:color w:val="000000"/>
          <w:sz w:val="32"/>
          <w:szCs w:val="32"/>
        </w:rPr>
      </w:pPr>
      <w:r>
        <w:rPr>
          <w:rStyle w:val="15"/>
          <w:rFonts w:hint="eastAsia" w:ascii="仿宋" w:hAnsi="仿宋" w:eastAsia="仿宋"/>
          <w:bCs/>
          <w:color w:val="000000"/>
          <w:sz w:val="32"/>
          <w:szCs w:val="32"/>
          <w:lang w:val="en-US" w:eastAsia="zh-CN"/>
        </w:rPr>
        <w:t>25</w:t>
      </w:r>
      <w:r>
        <w:rPr>
          <w:rStyle w:val="15"/>
          <w:rFonts w:ascii="仿宋" w:hAnsi="仿宋" w:eastAsia="仿宋"/>
          <w:bCs/>
          <w:color w:val="000000"/>
          <w:sz w:val="32"/>
          <w:szCs w:val="32"/>
        </w:rPr>
        <w:t>.</w:t>
      </w:r>
      <w:r>
        <w:rPr>
          <w:rStyle w:val="15"/>
          <w:rFonts w:hint="eastAsia" w:ascii="仿宋" w:hAnsi="仿宋" w:eastAsia="仿宋"/>
          <w:bCs/>
          <w:color w:val="000000"/>
          <w:sz w:val="32"/>
          <w:szCs w:val="32"/>
          <w:lang w:eastAsia="zh-CN"/>
        </w:rPr>
        <w:t>卫生健康</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eastAsia="zh-CN"/>
        </w:rPr>
        <w:t>公共卫生</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重大公共卫生专项</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71.47</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Style w:val="15"/>
          <w:rFonts w:hint="eastAsia" w:ascii="仿宋" w:hAnsi="仿宋" w:eastAsia="仿宋"/>
          <w:b w:val="0"/>
          <w:bCs/>
          <w:color w:val="auto"/>
          <w:sz w:val="32"/>
          <w:szCs w:val="32"/>
        </w:rPr>
      </w:pPr>
      <w:r>
        <w:rPr>
          <w:rStyle w:val="15"/>
          <w:rFonts w:hint="eastAsia" w:ascii="仿宋" w:hAnsi="仿宋" w:eastAsia="仿宋"/>
          <w:bCs/>
          <w:color w:val="auto"/>
          <w:sz w:val="32"/>
          <w:szCs w:val="32"/>
          <w:lang w:val="en-US" w:eastAsia="zh-CN"/>
        </w:rPr>
        <w:t>26</w:t>
      </w:r>
      <w:r>
        <w:rPr>
          <w:rStyle w:val="15"/>
          <w:rFonts w:ascii="仿宋" w:hAnsi="仿宋" w:eastAsia="仿宋"/>
          <w:bCs/>
          <w:color w:val="auto"/>
          <w:sz w:val="32"/>
          <w:szCs w:val="32"/>
        </w:rPr>
        <w:t>.</w:t>
      </w:r>
      <w:r>
        <w:rPr>
          <w:rStyle w:val="15"/>
          <w:rFonts w:hint="eastAsia" w:ascii="仿宋" w:hAnsi="仿宋" w:eastAsia="仿宋"/>
          <w:bCs/>
          <w:color w:val="auto"/>
          <w:sz w:val="32"/>
          <w:szCs w:val="32"/>
          <w:lang w:eastAsia="zh-CN"/>
        </w:rPr>
        <w:t>卫生健康</w:t>
      </w:r>
      <w:r>
        <w:rPr>
          <w:rStyle w:val="15"/>
          <w:rFonts w:hint="eastAsia" w:ascii="仿宋" w:hAnsi="仿宋" w:eastAsia="仿宋"/>
          <w:bCs/>
          <w:color w:val="auto"/>
          <w:sz w:val="32"/>
          <w:szCs w:val="32"/>
        </w:rPr>
        <w:t>（类）</w:t>
      </w:r>
      <w:r>
        <w:rPr>
          <w:rStyle w:val="15"/>
          <w:rFonts w:hint="eastAsia" w:ascii="仿宋" w:hAnsi="仿宋" w:eastAsia="仿宋"/>
          <w:bCs/>
          <w:color w:val="auto"/>
          <w:sz w:val="32"/>
          <w:szCs w:val="32"/>
          <w:lang w:eastAsia="zh-CN"/>
        </w:rPr>
        <w:t>行政事业单位医疗</w:t>
      </w:r>
      <w:r>
        <w:rPr>
          <w:rStyle w:val="15"/>
          <w:rFonts w:hint="eastAsia" w:ascii="仿宋" w:hAnsi="仿宋" w:eastAsia="仿宋"/>
          <w:bCs/>
          <w:color w:val="auto"/>
          <w:sz w:val="32"/>
          <w:szCs w:val="32"/>
        </w:rPr>
        <w:t>（款）</w:t>
      </w:r>
      <w:r>
        <w:rPr>
          <w:rStyle w:val="15"/>
          <w:rFonts w:hint="eastAsia" w:ascii="仿宋" w:hAnsi="仿宋" w:eastAsia="仿宋"/>
          <w:bCs/>
          <w:color w:val="auto"/>
          <w:sz w:val="32"/>
          <w:szCs w:val="32"/>
          <w:lang w:eastAsia="zh-CN"/>
        </w:rPr>
        <w:t>事业单位医疗</w:t>
      </w:r>
      <w:r>
        <w:rPr>
          <w:rStyle w:val="15"/>
          <w:rFonts w:hint="eastAsia" w:ascii="仿宋" w:hAnsi="仿宋" w:eastAsia="仿宋"/>
          <w:bCs/>
          <w:color w:val="auto"/>
          <w:sz w:val="32"/>
          <w:szCs w:val="32"/>
        </w:rPr>
        <w:t>（项）</w:t>
      </w:r>
      <w:r>
        <w:rPr>
          <w:rStyle w:val="15"/>
          <w:rFonts w:ascii="仿宋" w:hAnsi="仿宋" w:eastAsia="仿宋"/>
          <w:bCs/>
          <w:color w:val="auto"/>
          <w:sz w:val="32"/>
          <w:szCs w:val="32"/>
        </w:rPr>
        <w:t>:</w:t>
      </w:r>
      <w:r>
        <w:rPr>
          <w:rStyle w:val="15"/>
          <w:rFonts w:ascii="仿宋" w:hAnsi="仿宋" w:eastAsia="仿宋"/>
          <w:b w:val="0"/>
          <w:bCs/>
          <w:color w:val="auto"/>
          <w:sz w:val="32"/>
          <w:szCs w:val="32"/>
        </w:rPr>
        <w:t xml:space="preserve"> </w:t>
      </w:r>
      <w:r>
        <w:rPr>
          <w:rStyle w:val="15"/>
          <w:rFonts w:hint="eastAsia" w:ascii="仿宋" w:hAnsi="仿宋" w:eastAsia="仿宋"/>
          <w:b w:val="0"/>
          <w:bCs/>
          <w:color w:val="auto"/>
          <w:sz w:val="32"/>
          <w:szCs w:val="32"/>
        </w:rPr>
        <w:t>支出决算为</w:t>
      </w:r>
      <w:r>
        <w:rPr>
          <w:rStyle w:val="15"/>
          <w:rFonts w:hint="eastAsia" w:ascii="仿宋" w:hAnsi="仿宋" w:eastAsia="仿宋"/>
          <w:b w:val="0"/>
          <w:bCs/>
          <w:color w:val="auto"/>
          <w:sz w:val="32"/>
          <w:szCs w:val="32"/>
          <w:lang w:val="en-US" w:eastAsia="zh-CN"/>
        </w:rPr>
        <w:t>15.43</w:t>
      </w:r>
      <w:r>
        <w:rPr>
          <w:rStyle w:val="15"/>
          <w:rFonts w:hint="eastAsia" w:ascii="仿宋" w:hAnsi="仿宋" w:eastAsia="仿宋"/>
          <w:b w:val="0"/>
          <w:bCs/>
          <w:color w:val="auto"/>
          <w:sz w:val="32"/>
          <w:szCs w:val="32"/>
        </w:rPr>
        <w:t>万元，完成预算</w:t>
      </w:r>
      <w:r>
        <w:rPr>
          <w:rStyle w:val="15"/>
          <w:rFonts w:hint="eastAsia" w:ascii="仿宋" w:hAnsi="仿宋" w:eastAsia="仿宋"/>
          <w:b w:val="0"/>
          <w:bCs/>
          <w:color w:val="auto"/>
          <w:sz w:val="32"/>
          <w:szCs w:val="32"/>
          <w:lang w:val="en-US" w:eastAsia="zh-CN"/>
        </w:rPr>
        <w:t>100</w:t>
      </w:r>
      <w:r>
        <w:rPr>
          <w:rStyle w:val="15"/>
          <w:rFonts w:ascii="仿宋" w:hAnsi="仿宋" w:eastAsia="仿宋"/>
          <w:b w:val="0"/>
          <w:bCs/>
          <w:color w:val="auto"/>
          <w:sz w:val="32"/>
          <w:szCs w:val="32"/>
        </w:rPr>
        <w:t>%</w:t>
      </w:r>
      <w:r>
        <w:rPr>
          <w:rStyle w:val="15"/>
          <w:rFonts w:hint="eastAsia" w:ascii="仿宋" w:hAnsi="仿宋" w:eastAsia="仿宋"/>
          <w:b w:val="0"/>
          <w:bCs/>
          <w:color w:val="auto"/>
          <w:sz w:val="32"/>
          <w:szCs w:val="32"/>
        </w:rPr>
        <w:t>。</w:t>
      </w:r>
    </w:p>
    <w:p>
      <w:pPr>
        <w:spacing w:line="600" w:lineRule="exact"/>
        <w:ind w:firstLine="643" w:firstLineChars="200"/>
        <w:rPr>
          <w:rStyle w:val="15"/>
          <w:rFonts w:hint="eastAsia" w:ascii="仿宋" w:hAnsi="仿宋" w:eastAsia="仿宋"/>
          <w:b w:val="0"/>
          <w:bCs/>
          <w:color w:val="000000"/>
          <w:sz w:val="32"/>
          <w:szCs w:val="32"/>
        </w:rPr>
      </w:pPr>
      <w:r>
        <w:rPr>
          <w:rStyle w:val="15"/>
          <w:rFonts w:hint="eastAsia" w:ascii="仿宋" w:hAnsi="仿宋" w:eastAsia="仿宋"/>
          <w:bCs/>
          <w:color w:val="000000"/>
          <w:sz w:val="32"/>
          <w:szCs w:val="32"/>
          <w:lang w:val="en-US" w:eastAsia="zh-CN"/>
        </w:rPr>
        <w:t>27</w:t>
      </w:r>
      <w:r>
        <w:rPr>
          <w:rStyle w:val="15"/>
          <w:rFonts w:ascii="仿宋" w:hAnsi="仿宋" w:eastAsia="仿宋"/>
          <w:bCs/>
          <w:color w:val="000000"/>
          <w:sz w:val="32"/>
          <w:szCs w:val="32"/>
        </w:rPr>
        <w:t>.</w:t>
      </w:r>
      <w:r>
        <w:rPr>
          <w:rStyle w:val="15"/>
          <w:rFonts w:hint="eastAsia" w:ascii="仿宋" w:hAnsi="仿宋" w:eastAsia="仿宋"/>
          <w:bCs/>
          <w:color w:val="000000"/>
          <w:sz w:val="32"/>
          <w:szCs w:val="32"/>
          <w:lang w:eastAsia="zh-CN"/>
        </w:rPr>
        <w:t>卫生健康</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eastAsia="zh-CN"/>
        </w:rPr>
        <w:t>其他卫生健康支出</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其他卫生健康支出</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92.3</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p>
    <w:p>
      <w:pPr>
        <w:spacing w:line="600" w:lineRule="exact"/>
        <w:ind w:firstLine="643" w:firstLineChars="200"/>
        <w:rPr>
          <w:rStyle w:val="15"/>
          <w:rFonts w:hint="eastAsia" w:ascii="仿宋" w:hAnsi="仿宋" w:eastAsia="仿宋"/>
          <w:b w:val="0"/>
          <w:bCs/>
          <w:color w:val="000000"/>
          <w:sz w:val="32"/>
          <w:szCs w:val="32"/>
        </w:rPr>
      </w:pPr>
      <w:r>
        <w:rPr>
          <w:rStyle w:val="15"/>
          <w:rFonts w:hint="eastAsia" w:ascii="仿宋" w:hAnsi="仿宋" w:eastAsia="仿宋"/>
          <w:bCs/>
          <w:color w:val="000000"/>
          <w:sz w:val="32"/>
          <w:szCs w:val="32"/>
          <w:lang w:val="en-US" w:eastAsia="zh-CN"/>
        </w:rPr>
        <w:t>28</w:t>
      </w:r>
      <w:r>
        <w:rPr>
          <w:rStyle w:val="15"/>
          <w:rFonts w:ascii="仿宋" w:hAnsi="仿宋" w:eastAsia="仿宋"/>
          <w:bCs/>
          <w:color w:val="000000"/>
          <w:sz w:val="32"/>
          <w:szCs w:val="32"/>
        </w:rPr>
        <w:t>.</w:t>
      </w:r>
      <w:r>
        <w:rPr>
          <w:rStyle w:val="15"/>
          <w:rFonts w:hint="eastAsia" w:ascii="仿宋" w:hAnsi="仿宋" w:eastAsia="仿宋"/>
          <w:bCs/>
          <w:color w:val="000000"/>
          <w:sz w:val="32"/>
          <w:szCs w:val="32"/>
          <w:lang w:eastAsia="zh-CN"/>
        </w:rPr>
        <w:t>住房保障</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eastAsia="zh-CN"/>
        </w:rPr>
        <w:t>住房改革支出</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住房公积金</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51.08</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p>
    <w:p>
      <w:pPr>
        <w:tabs>
          <w:tab w:val="right" w:pos="8306"/>
        </w:tabs>
        <w:spacing w:line="600" w:lineRule="exact"/>
        <w:ind w:firstLine="640"/>
        <w:outlineLvl w:val="1"/>
        <w:rPr>
          <w:rStyle w:val="28"/>
        </w:rPr>
      </w:pPr>
      <w:bookmarkStart w:id="44" w:name="_Toc15396608"/>
      <w:bookmarkStart w:id="45"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44"/>
      <w:bookmarkEnd w:id="45"/>
      <w:r>
        <w:rPr>
          <w:rStyle w:val="28"/>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8711.92</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8245.50</w:t>
      </w:r>
      <w:r>
        <w:rPr>
          <w:rFonts w:hint="eastAsia" w:ascii="仿宋" w:hAnsi="仿宋" w:eastAsia="仿宋"/>
          <w:color w:val="000000"/>
          <w:sz w:val="32"/>
          <w:szCs w:val="32"/>
        </w:rPr>
        <w:t>万元，主要包括：基本工资、津贴补贴、奖金、伙食补助费、绩效工资、机关事业单位基本养老保险缴费、职业年金缴费、职工基本医疗保险缴费</w:t>
      </w:r>
      <w:r>
        <w:rPr>
          <w:rFonts w:hint="eastAsia" w:ascii="仿宋" w:hAnsi="仿宋" w:eastAsia="仿宋"/>
          <w:color w:val="000000"/>
          <w:sz w:val="32"/>
          <w:szCs w:val="32"/>
          <w:lang w:eastAsia="zh-CN"/>
        </w:rPr>
        <w:t>、公务员医疗补助缴费、其他社会保障缴费、</w:t>
      </w:r>
      <w:r>
        <w:rPr>
          <w:rFonts w:hint="eastAsia" w:ascii="仿宋" w:hAnsi="仿宋" w:eastAsia="仿宋"/>
          <w:color w:val="000000"/>
          <w:sz w:val="32"/>
          <w:szCs w:val="32"/>
        </w:rPr>
        <w:t>其他工资福利支出、离休费、退休费、抚恤金、生活补助、医疗费、奖励金、住房公积金、其他对个人和家庭的补助支出等。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466.42</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w:t>
      </w:r>
      <w:r>
        <w:rPr>
          <w:rFonts w:hint="eastAsia" w:ascii="仿宋" w:hAnsi="仿宋" w:eastAsia="仿宋"/>
          <w:color w:val="000000"/>
          <w:sz w:val="32"/>
          <w:szCs w:val="32"/>
          <w:lang w:eastAsia="zh-CN"/>
        </w:rPr>
        <w:t>无形资产购置、</w:t>
      </w:r>
      <w:r>
        <w:rPr>
          <w:rFonts w:hint="eastAsia" w:ascii="仿宋" w:hAnsi="仿宋" w:eastAsia="仿宋"/>
          <w:color w:val="000000"/>
          <w:sz w:val="32"/>
          <w:szCs w:val="32"/>
        </w:rPr>
        <w:t>其他资本性支出等。</w:t>
      </w:r>
    </w:p>
    <w:p>
      <w:pPr>
        <w:spacing w:line="600" w:lineRule="exact"/>
        <w:ind w:firstLine="640"/>
        <w:outlineLvl w:val="1"/>
        <w:rPr>
          <w:rStyle w:val="28"/>
          <w:rFonts w:ascii="黑体" w:hAnsi="黑体" w:eastAsia="黑体"/>
          <w:b w:val="0"/>
        </w:rPr>
      </w:pPr>
      <w:bookmarkStart w:id="46" w:name="_Toc15377215"/>
      <w:bookmarkStart w:id="47" w:name="_Toc15396609"/>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46"/>
      <w:bookmarkEnd w:id="47"/>
    </w:p>
    <w:p>
      <w:pPr>
        <w:spacing w:line="600" w:lineRule="exact"/>
        <w:ind w:firstLine="640"/>
        <w:outlineLvl w:val="2"/>
        <w:rPr>
          <w:rFonts w:ascii="仿宋" w:hAnsi="仿宋" w:eastAsia="仿宋"/>
          <w:b/>
          <w:color w:val="000000"/>
          <w:sz w:val="32"/>
          <w:szCs w:val="32"/>
        </w:rPr>
      </w:pPr>
      <w:bookmarkStart w:id="48" w:name="_Toc15377216"/>
      <w:r>
        <w:rPr>
          <w:rFonts w:hint="eastAsia" w:ascii="仿宋" w:hAnsi="仿宋" w:eastAsia="仿宋"/>
          <w:b/>
          <w:color w:val="000000"/>
          <w:sz w:val="32"/>
          <w:szCs w:val="32"/>
        </w:rPr>
        <w:t>（一）“三公”经费财政拨款支出决算总体情况说明</w:t>
      </w:r>
      <w:bookmarkEnd w:id="48"/>
    </w:p>
    <w:p>
      <w:pPr>
        <w:spacing w:line="600" w:lineRule="exact"/>
        <w:ind w:firstLine="645"/>
        <w:rPr>
          <w:rFonts w:hint="eastAsia" w:ascii="仿宋" w:hAnsi="仿宋" w:eastAsia="仿宋"/>
          <w:color w:val="000000"/>
          <w:sz w:val="32"/>
          <w:szCs w:val="32"/>
        </w:rPr>
      </w:pP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53.54</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70.44</w:t>
      </w:r>
      <w:r>
        <w:rPr>
          <w:rFonts w:hint="eastAsia" w:ascii="仿宋" w:hAnsi="仿宋" w:eastAsia="仿宋"/>
          <w:color w:val="000000"/>
          <w:sz w:val="32"/>
          <w:szCs w:val="32"/>
        </w:rPr>
        <w:t>%，决算数小于预算数的主要原因是</w:t>
      </w:r>
      <w:r>
        <w:rPr>
          <w:rFonts w:hint="eastAsia" w:ascii="仿宋" w:hAnsi="仿宋" w:eastAsia="仿宋"/>
          <w:color w:val="000000"/>
          <w:sz w:val="32"/>
          <w:szCs w:val="32"/>
          <w:lang w:eastAsia="zh-CN"/>
        </w:rPr>
        <w:t>厉行节约，响应中央八项规定，严肃财经纪律</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49" w:name="_Toc15377217"/>
      <w:r>
        <w:rPr>
          <w:rFonts w:hint="eastAsia" w:ascii="仿宋" w:hAnsi="仿宋" w:eastAsia="仿宋"/>
          <w:b/>
          <w:color w:val="000000"/>
          <w:sz w:val="32"/>
          <w:szCs w:val="32"/>
        </w:rPr>
        <w:t>（二）“三公”经费财政拨款支出决算具体情况说明</w:t>
      </w:r>
      <w:bookmarkEnd w:id="49"/>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16.41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30.65</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35.62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66.53</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1.51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2.82</w:t>
      </w:r>
      <w:r>
        <w:rPr>
          <w:rFonts w:ascii="仿宋" w:hAnsi="仿宋" w:eastAsia="仿宋"/>
          <w:color w:val="000000"/>
          <w:sz w:val="32"/>
          <w:szCs w:val="32"/>
        </w:rPr>
        <w:t>%</w:t>
      </w:r>
      <w:r>
        <w:rPr>
          <w:rFonts w:hint="eastAsia" w:ascii="仿宋" w:hAnsi="仿宋" w:eastAsia="仿宋"/>
          <w:color w:val="000000"/>
          <w:sz w:val="32"/>
          <w:szCs w:val="32"/>
        </w:rPr>
        <w:t>。具体情况如下：</w:t>
      </w:r>
    </w:p>
    <w:p>
      <w:pPr>
        <w:keepNext w:val="0"/>
        <w:keepLines w:val="0"/>
        <w:widowControl/>
        <w:suppressLineNumbers w:val="0"/>
        <w:jc w:val="center"/>
      </w:pPr>
      <w:r>
        <w:rPr>
          <w:rFonts w:ascii="宋体" w:hAnsi="宋体" w:eastAsia="宋体" w:cs="宋体"/>
          <w:kern w:val="0"/>
          <w:sz w:val="24"/>
          <w:szCs w:val="24"/>
          <w:lang w:val="en-US" w:eastAsia="zh-CN" w:bidi="ar"/>
        </w:rPr>
        <w:drawing>
          <wp:inline distT="0" distB="0" distL="114300" distR="114300">
            <wp:extent cx="4505325" cy="2638425"/>
            <wp:effectExtent l="0" t="0" r="9525" b="952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12"/>
                    <a:stretch>
                      <a:fillRect/>
                    </a:stretch>
                  </pic:blipFill>
                  <pic:spPr>
                    <a:xfrm>
                      <a:off x="0" y="0"/>
                      <a:ext cx="4505325" cy="2638425"/>
                    </a:xfrm>
                    <a:prstGeom prst="rect">
                      <a:avLst/>
                    </a:prstGeom>
                    <a:noFill/>
                    <a:ln w="9525">
                      <a:noFill/>
                    </a:ln>
                  </pic:spPr>
                </pic:pic>
              </a:graphicData>
            </a:graphic>
          </wp:inline>
        </w:drawing>
      </w:r>
    </w:p>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图</w:t>
      </w:r>
      <w:r>
        <w:rPr>
          <w:rFonts w:hint="eastAsia" w:ascii="仿宋" w:hAnsi="仿宋" w:eastAsia="仿宋"/>
          <w:color w:val="000000"/>
          <w:sz w:val="32"/>
          <w:szCs w:val="32"/>
          <w:lang w:val="en-US" w:eastAsia="zh-CN"/>
        </w:rPr>
        <w:t>7</w:t>
      </w:r>
      <w:r>
        <w:rPr>
          <w:rFonts w:hint="eastAsia" w:ascii="仿宋" w:hAnsi="仿宋" w:eastAsia="仿宋"/>
          <w:color w:val="000000"/>
          <w:sz w:val="32"/>
          <w:szCs w:val="32"/>
        </w:rPr>
        <w:t>：“三公”经费财政拨款支出结构</w:t>
      </w:r>
    </w:p>
    <w:p>
      <w:pPr>
        <w:spacing w:line="600" w:lineRule="exact"/>
        <w:ind w:firstLine="645"/>
        <w:rPr>
          <w:rFonts w:hint="eastAsia" w:ascii="仿宋" w:hAnsi="仿宋" w:eastAsia="仿宋"/>
          <w:color w:val="000000"/>
          <w:sz w:val="32"/>
          <w:szCs w:val="32"/>
        </w:rPr>
      </w:pPr>
      <w:r>
        <w:rPr>
          <w:rStyle w:val="15"/>
          <w:rFonts w:hint="eastAsia" w:ascii="仿宋" w:hAnsi="仿宋" w:eastAsia="仿宋"/>
          <w:bCs/>
          <w:color w:val="000000"/>
          <w:sz w:val="32"/>
          <w:szCs w:val="32"/>
        </w:rPr>
        <w:t>1.因公出国（境）经费支出</w:t>
      </w:r>
      <w:r>
        <w:rPr>
          <w:rFonts w:hint="eastAsia" w:ascii="仿宋" w:hAnsi="仿宋" w:eastAsia="仿宋"/>
          <w:color w:val="auto"/>
          <w:sz w:val="32"/>
          <w:szCs w:val="32"/>
          <w:highlight w:val="none"/>
          <w:lang w:val="en-US" w:eastAsia="zh-CN"/>
        </w:rPr>
        <w:t>16.41</w:t>
      </w:r>
      <w:r>
        <w:rPr>
          <w:rFonts w:hint="eastAsia" w:ascii="仿宋" w:hAnsi="仿宋" w:eastAsia="仿宋"/>
          <w:color w:val="auto"/>
          <w:sz w:val="32"/>
          <w:szCs w:val="32"/>
          <w:highlight w:val="none"/>
        </w:rPr>
        <w:t>万元，完成预算</w:t>
      </w:r>
      <w:r>
        <w:rPr>
          <w:rFonts w:hint="eastAsia" w:ascii="仿宋" w:hAnsi="仿宋" w:eastAsia="仿宋"/>
          <w:color w:val="auto"/>
          <w:sz w:val="32"/>
          <w:szCs w:val="32"/>
          <w:highlight w:val="none"/>
          <w:lang w:val="en-US" w:eastAsia="zh-CN"/>
        </w:rPr>
        <w:t>100</w:t>
      </w:r>
      <w:r>
        <w:rPr>
          <w:rFonts w:hint="eastAsia" w:ascii="仿宋" w:hAnsi="仿宋" w:eastAsia="仿宋"/>
          <w:color w:val="auto"/>
          <w:sz w:val="32"/>
          <w:szCs w:val="32"/>
          <w:highlight w:val="none"/>
        </w:rPr>
        <w:t>%。</w:t>
      </w:r>
      <w:r>
        <w:rPr>
          <w:rFonts w:hint="eastAsia" w:ascii="仿宋" w:hAnsi="仿宋" w:eastAsia="仿宋"/>
          <w:color w:val="000000"/>
          <w:sz w:val="32"/>
          <w:szCs w:val="32"/>
        </w:rPr>
        <w:t>全年安排因公出国（境）团组</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次，出国（境）</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人。因公出国（境）支出决算比201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年增加</w:t>
      </w:r>
      <w:r>
        <w:rPr>
          <w:rFonts w:hint="eastAsia" w:ascii="仿宋" w:hAnsi="仿宋" w:eastAsia="仿宋"/>
          <w:color w:val="000000"/>
          <w:sz w:val="32"/>
          <w:szCs w:val="32"/>
          <w:lang w:val="en-US" w:eastAsia="zh-CN"/>
        </w:rPr>
        <w:t>6.66</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68.30</w:t>
      </w:r>
      <w:r>
        <w:rPr>
          <w:rFonts w:hint="eastAsia" w:ascii="仿宋" w:hAnsi="仿宋" w:eastAsia="仿宋"/>
          <w:color w:val="000000"/>
          <w:sz w:val="32"/>
          <w:szCs w:val="32"/>
        </w:rPr>
        <w:t>%。主要原因是</w:t>
      </w:r>
      <w:r>
        <w:rPr>
          <w:rFonts w:hint="eastAsia" w:ascii="仿宋" w:hAnsi="仿宋" w:eastAsia="仿宋"/>
          <w:color w:val="000000"/>
          <w:sz w:val="32"/>
          <w:szCs w:val="32"/>
          <w:lang w:eastAsia="zh-CN"/>
        </w:rPr>
        <w:t>学院加强国际交流，进一步扩大对外影响力</w:t>
      </w:r>
      <w:r>
        <w:rPr>
          <w:rFonts w:hint="eastAsia" w:ascii="仿宋" w:hAnsi="仿宋" w:eastAsia="仿宋"/>
          <w:color w:val="000000"/>
          <w:sz w:val="32"/>
          <w:szCs w:val="32"/>
        </w:rPr>
        <w:t>。</w:t>
      </w:r>
    </w:p>
    <w:p>
      <w:pPr>
        <w:spacing w:line="600" w:lineRule="exact"/>
        <w:ind w:firstLine="645"/>
        <w:rPr>
          <w:rFonts w:hint="eastAsia" w:ascii="仿宋" w:hAnsi="仿宋" w:eastAsia="仿宋"/>
          <w:color w:val="000000"/>
          <w:sz w:val="32"/>
          <w:szCs w:val="32"/>
        </w:rPr>
      </w:pPr>
      <w:r>
        <w:rPr>
          <w:rFonts w:hint="eastAsia" w:ascii="仿宋" w:hAnsi="仿宋" w:eastAsia="仿宋"/>
          <w:color w:val="000000"/>
          <w:sz w:val="32"/>
          <w:szCs w:val="32"/>
        </w:rPr>
        <w:t>开支内容包括：</w:t>
      </w:r>
      <w:r>
        <w:rPr>
          <w:rFonts w:hint="eastAsia" w:ascii="仿宋" w:hAnsi="仿宋" w:eastAsia="仿宋"/>
          <w:color w:val="000000"/>
          <w:sz w:val="32"/>
          <w:szCs w:val="32"/>
          <w:lang w:val="en-US" w:eastAsia="zh-CN"/>
        </w:rPr>
        <w:t>4人受邀赴柬埔寨，与柬埔寨劳工与培训部干拉省培训中心、相关学校，就校企合作共建旅游相关专业、在柬合建职业教育学院等在谈合作项目拟定工作推进时间表；1人参加四川省教育厅组织的四川高职院校赴泰国交流合作团，赴泰国执行四川--泰国职业教育交流合作任务；1人受学院选派，在有色金属工业人才中心（全国有色金属职业教育教学指导委员会秘书处）的统一组织下，赴赞比亚开展培训工作；3人出访韩国，参加中韩篮球交流，加强了中韩体育交流。</w:t>
      </w:r>
    </w:p>
    <w:p>
      <w:pPr>
        <w:spacing w:line="600" w:lineRule="exact"/>
        <w:ind w:firstLine="640"/>
        <w:rPr>
          <w:rFonts w:hint="default" w:ascii="仿宋" w:hAnsi="仿宋" w:eastAsia="仿宋"/>
          <w:color w:val="000000"/>
          <w:sz w:val="32"/>
          <w:szCs w:val="32"/>
          <w:lang w:val="en-US"/>
        </w:rPr>
      </w:pPr>
      <w:r>
        <w:rPr>
          <w:rStyle w:val="15"/>
          <w:rFonts w:hint="eastAsia" w:ascii="仿宋" w:hAnsi="仿宋" w:eastAsia="仿宋"/>
          <w:bCs/>
          <w:color w:val="000000"/>
          <w:sz w:val="32"/>
          <w:szCs w:val="32"/>
        </w:rPr>
        <w:t>2.公务用车购置及运行维护费支出</w:t>
      </w:r>
      <w:r>
        <w:rPr>
          <w:rFonts w:hint="eastAsia" w:ascii="仿宋" w:hAnsi="仿宋" w:eastAsia="仿宋"/>
          <w:color w:val="000000"/>
          <w:sz w:val="32"/>
          <w:szCs w:val="32"/>
          <w:lang w:val="en-US" w:eastAsia="zh-CN"/>
        </w:rPr>
        <w:t>35.62</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65.96</w:t>
      </w:r>
      <w:r>
        <w:rPr>
          <w:rFonts w:hint="eastAsia" w:ascii="仿宋" w:hAnsi="仿宋" w:eastAsia="仿宋"/>
          <w:color w:val="000000"/>
          <w:sz w:val="32"/>
          <w:szCs w:val="32"/>
        </w:rPr>
        <w:t>%。公务用车购置及运行维护费支出决算比201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年增加</w:t>
      </w:r>
      <w:r>
        <w:rPr>
          <w:rFonts w:hint="eastAsia" w:ascii="仿宋" w:hAnsi="仿宋" w:eastAsia="仿宋"/>
          <w:color w:val="000000"/>
          <w:sz w:val="32"/>
          <w:szCs w:val="32"/>
          <w:lang w:val="en-US" w:eastAsia="zh-CN"/>
        </w:rPr>
        <w:t>6.74</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23.33</w:t>
      </w:r>
      <w:r>
        <w:rPr>
          <w:rFonts w:hint="eastAsia" w:ascii="仿宋" w:hAnsi="仿宋" w:eastAsia="仿宋"/>
          <w:color w:val="000000"/>
          <w:sz w:val="32"/>
          <w:szCs w:val="32"/>
        </w:rPr>
        <w:t>%。主要原因是</w:t>
      </w:r>
      <w:r>
        <w:rPr>
          <w:rFonts w:hint="eastAsia" w:ascii="仿宋" w:hAnsi="仿宋" w:eastAsia="仿宋"/>
          <w:color w:val="000000"/>
          <w:sz w:val="32"/>
          <w:szCs w:val="32"/>
          <w:lang w:val="en-US" w:eastAsia="zh-CN"/>
        </w:rPr>
        <w:t>2019年决算公开数据新增了乐山市奥林匹克学校。</w:t>
      </w:r>
    </w:p>
    <w:p>
      <w:pPr>
        <w:spacing w:line="600" w:lineRule="exact"/>
        <w:ind w:firstLine="640" w:firstLineChars="200"/>
        <w:rPr>
          <w:rFonts w:hint="eastAsia" w:ascii="仿宋" w:hAnsi="仿宋" w:eastAsia="仿宋"/>
          <w:color w:val="000000"/>
          <w:sz w:val="32"/>
          <w:szCs w:val="32"/>
        </w:rPr>
      </w:pPr>
      <w:r>
        <w:rPr>
          <w:rFonts w:hint="eastAsia" w:ascii="仿宋_GB2312" w:eastAsia="仿宋_GB2312"/>
          <w:color w:val="000000"/>
          <w:sz w:val="32"/>
          <w:szCs w:val="32"/>
        </w:rPr>
        <w:t>其中：</w:t>
      </w:r>
      <w:r>
        <w:rPr>
          <w:rStyle w:val="15"/>
          <w:rFonts w:hint="eastAsia" w:ascii="仿宋" w:hAnsi="仿宋" w:eastAsia="仿宋"/>
          <w:bCs/>
          <w:color w:val="000000"/>
          <w:sz w:val="32"/>
          <w:szCs w:val="32"/>
        </w:rPr>
        <w:t>公务用车购置支出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万元。全年按规定更新购置公务用车</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辆，其中：轿车</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辆、金额</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万元，越野车</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辆、金额</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万元，载客汽车</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辆、金额</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万元。截至20</w:t>
      </w:r>
      <w:r>
        <w:rPr>
          <w:rFonts w:hint="eastAsia" w:ascii="仿宋" w:hAnsi="仿宋" w:eastAsia="仿宋"/>
          <w:color w:val="000000"/>
          <w:sz w:val="32"/>
          <w:szCs w:val="32"/>
          <w:lang w:val="en-US" w:eastAsia="zh-CN"/>
        </w:rPr>
        <w:t>19</w:t>
      </w:r>
      <w:r>
        <w:rPr>
          <w:rFonts w:hint="eastAsia" w:ascii="仿宋" w:hAnsi="仿宋" w:eastAsia="仿宋"/>
          <w:color w:val="000000"/>
          <w:sz w:val="32"/>
          <w:szCs w:val="32"/>
        </w:rPr>
        <w:t>年12月底，单位共有公务用车</w:t>
      </w:r>
      <w:r>
        <w:rPr>
          <w:rFonts w:hint="eastAsia" w:ascii="仿宋" w:hAnsi="仿宋" w:eastAsia="仿宋"/>
          <w:color w:val="000000"/>
          <w:sz w:val="32"/>
          <w:szCs w:val="32"/>
          <w:lang w:val="en-US" w:eastAsia="zh-CN"/>
        </w:rPr>
        <w:t>6</w:t>
      </w:r>
      <w:r>
        <w:rPr>
          <w:rFonts w:hint="eastAsia" w:ascii="仿宋" w:hAnsi="仿宋" w:eastAsia="仿宋"/>
          <w:color w:val="000000"/>
          <w:sz w:val="32"/>
          <w:szCs w:val="32"/>
        </w:rPr>
        <w:t>辆，其中：轿车</w:t>
      </w:r>
      <w:r>
        <w:rPr>
          <w:rFonts w:hint="eastAsia" w:ascii="仿宋" w:hAnsi="仿宋" w:eastAsia="仿宋"/>
          <w:color w:val="000000"/>
          <w:sz w:val="32"/>
          <w:szCs w:val="32"/>
          <w:lang w:val="en-US" w:eastAsia="zh-CN"/>
        </w:rPr>
        <w:t>5</w:t>
      </w:r>
      <w:r>
        <w:rPr>
          <w:rFonts w:hint="eastAsia" w:ascii="仿宋" w:hAnsi="仿宋" w:eastAsia="仿宋"/>
          <w:color w:val="000000"/>
          <w:sz w:val="32"/>
          <w:szCs w:val="32"/>
        </w:rPr>
        <w:t>辆、越野车</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辆、载客汽车</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辆。</w:t>
      </w:r>
    </w:p>
    <w:p>
      <w:pPr>
        <w:spacing w:line="600" w:lineRule="exact"/>
        <w:ind w:firstLine="640"/>
        <w:rPr>
          <w:rFonts w:hint="eastAsia" w:ascii="仿宋" w:hAnsi="仿宋" w:eastAsia="仿宋"/>
          <w:color w:val="000000"/>
          <w:sz w:val="32"/>
          <w:szCs w:val="32"/>
        </w:rPr>
      </w:pPr>
      <w:r>
        <w:rPr>
          <w:rStyle w:val="15"/>
          <w:rFonts w:hint="eastAsia" w:ascii="仿宋" w:hAnsi="仿宋" w:eastAsia="仿宋"/>
          <w:bCs/>
          <w:color w:val="000000"/>
          <w:sz w:val="32"/>
          <w:szCs w:val="32"/>
        </w:rPr>
        <w:t>公务用车运行维护费支出</w:t>
      </w:r>
      <w:r>
        <w:rPr>
          <w:rFonts w:hint="eastAsia" w:ascii="仿宋" w:hAnsi="仿宋" w:eastAsia="仿宋"/>
          <w:color w:val="000000"/>
          <w:sz w:val="32"/>
          <w:szCs w:val="32"/>
          <w:lang w:val="en-US" w:eastAsia="zh-CN"/>
        </w:rPr>
        <w:t>35.62</w:t>
      </w:r>
      <w:r>
        <w:rPr>
          <w:rFonts w:hint="eastAsia" w:ascii="仿宋" w:hAnsi="仿宋" w:eastAsia="仿宋"/>
          <w:color w:val="000000"/>
          <w:sz w:val="32"/>
          <w:szCs w:val="32"/>
        </w:rPr>
        <w:t>万元。主要用于</w:t>
      </w:r>
      <w:r>
        <w:rPr>
          <w:rFonts w:hint="eastAsia" w:ascii="仿宋" w:hAnsi="仿宋" w:eastAsia="仿宋"/>
          <w:color w:val="000000"/>
          <w:sz w:val="32"/>
          <w:szCs w:val="32"/>
          <w:lang w:val="en-US" w:eastAsia="zh-CN"/>
        </w:rPr>
        <w:t>院校间交流、教学、招生、继续教育和社会服务等所需</w:t>
      </w:r>
      <w:r>
        <w:rPr>
          <w:rFonts w:hint="eastAsia" w:ascii="仿宋" w:hAnsi="仿宋" w:eastAsia="仿宋"/>
          <w:color w:val="000000"/>
          <w:sz w:val="32"/>
          <w:szCs w:val="32"/>
        </w:rPr>
        <w:t>的公务用车燃料费、维修费、过路过桥费、保险费等支出。</w:t>
      </w:r>
    </w:p>
    <w:p>
      <w:pPr>
        <w:spacing w:line="600" w:lineRule="exact"/>
        <w:ind w:firstLine="645"/>
        <w:rPr>
          <w:rFonts w:hint="eastAsia" w:ascii="仿宋" w:hAnsi="仿宋" w:eastAsia="仿宋"/>
          <w:color w:val="000000"/>
          <w:sz w:val="32"/>
          <w:szCs w:val="32"/>
        </w:rPr>
      </w:pPr>
      <w:r>
        <w:rPr>
          <w:rStyle w:val="15"/>
          <w:rFonts w:hint="eastAsia" w:ascii="仿宋" w:hAnsi="仿宋" w:eastAsia="仿宋"/>
          <w:bCs/>
          <w:color w:val="000000"/>
          <w:sz w:val="32"/>
          <w:szCs w:val="32"/>
        </w:rPr>
        <w:t>3.公务接待费支出</w:t>
      </w:r>
      <w:r>
        <w:rPr>
          <w:rFonts w:hint="eastAsia" w:ascii="仿宋" w:hAnsi="仿宋" w:eastAsia="仿宋"/>
          <w:color w:val="000000"/>
          <w:sz w:val="32"/>
          <w:szCs w:val="32"/>
          <w:lang w:val="en-US" w:eastAsia="zh-CN"/>
        </w:rPr>
        <w:t>1.51</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6.86</w:t>
      </w:r>
      <w:r>
        <w:rPr>
          <w:rFonts w:hint="eastAsia" w:ascii="仿宋" w:hAnsi="仿宋" w:eastAsia="仿宋"/>
          <w:color w:val="000000"/>
          <w:sz w:val="32"/>
          <w:szCs w:val="32"/>
        </w:rPr>
        <w:t>%。公务接待费支出决算比201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年减少</w:t>
      </w:r>
      <w:r>
        <w:rPr>
          <w:rFonts w:hint="eastAsia" w:ascii="仿宋" w:hAnsi="仿宋" w:eastAsia="仿宋"/>
          <w:color w:val="000000"/>
          <w:sz w:val="32"/>
          <w:szCs w:val="32"/>
          <w:lang w:val="en-US" w:eastAsia="zh-CN"/>
        </w:rPr>
        <w:t>13.11</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89.67</w:t>
      </w:r>
      <w:r>
        <w:rPr>
          <w:rFonts w:hint="eastAsia" w:ascii="仿宋" w:hAnsi="仿宋" w:eastAsia="仿宋"/>
          <w:color w:val="000000"/>
          <w:sz w:val="32"/>
          <w:szCs w:val="32"/>
        </w:rPr>
        <w:t>%。主要原因是</w:t>
      </w:r>
      <w:r>
        <w:rPr>
          <w:rFonts w:hint="eastAsia" w:ascii="仿宋" w:hAnsi="仿宋" w:eastAsia="仿宋"/>
          <w:color w:val="000000"/>
          <w:sz w:val="32"/>
          <w:szCs w:val="32"/>
          <w:lang w:val="en-US" w:eastAsia="zh-CN"/>
        </w:rPr>
        <w:t>厉行节约，响应中央八项规定，严肃财经纪律</w:t>
      </w:r>
      <w:r>
        <w:rPr>
          <w:rFonts w:hint="eastAsia" w:ascii="仿宋" w:hAnsi="仿宋" w:eastAsia="仿宋"/>
          <w:color w:val="000000"/>
          <w:sz w:val="32"/>
          <w:szCs w:val="32"/>
        </w:rPr>
        <w:t>。</w:t>
      </w:r>
    </w:p>
    <w:p>
      <w:pPr>
        <w:spacing w:line="600" w:lineRule="exact"/>
        <w:ind w:firstLine="645"/>
        <w:rPr>
          <w:rFonts w:hint="eastAsia" w:ascii="仿宋" w:hAnsi="仿宋" w:eastAsia="仿宋"/>
          <w:color w:val="000000"/>
          <w:sz w:val="32"/>
          <w:szCs w:val="32"/>
          <w:lang w:val="en-US" w:eastAsia="zh-CN"/>
        </w:rPr>
      </w:pPr>
      <w:r>
        <w:rPr>
          <w:rFonts w:hint="eastAsia" w:ascii="仿宋" w:hAnsi="仿宋" w:eastAsia="仿宋"/>
          <w:color w:val="000000"/>
          <w:sz w:val="32"/>
          <w:szCs w:val="32"/>
        </w:rPr>
        <w:t>主要用于执行公务、开展业务活动开支的交通费、住宿费、用餐费等。国内公务接待</w:t>
      </w:r>
      <w:r>
        <w:rPr>
          <w:rFonts w:hint="eastAsia" w:ascii="仿宋" w:hAnsi="仿宋" w:eastAsia="仿宋"/>
          <w:color w:val="000000"/>
          <w:sz w:val="32"/>
          <w:szCs w:val="32"/>
          <w:lang w:val="en-US" w:eastAsia="zh-CN"/>
        </w:rPr>
        <w:t>11</w:t>
      </w:r>
      <w:r>
        <w:rPr>
          <w:rFonts w:hint="eastAsia" w:ascii="仿宋" w:hAnsi="仿宋" w:eastAsia="仿宋"/>
          <w:color w:val="000000"/>
          <w:sz w:val="32"/>
          <w:szCs w:val="32"/>
        </w:rPr>
        <w:t>批次，</w:t>
      </w:r>
      <w:r>
        <w:rPr>
          <w:rFonts w:hint="eastAsia" w:ascii="仿宋" w:hAnsi="仿宋" w:eastAsia="仿宋"/>
          <w:color w:val="000000"/>
          <w:sz w:val="32"/>
          <w:szCs w:val="32"/>
          <w:lang w:val="en-US" w:eastAsia="zh-CN"/>
        </w:rPr>
        <w:t>136</w:t>
      </w:r>
      <w:r>
        <w:rPr>
          <w:rFonts w:hint="eastAsia" w:ascii="仿宋" w:hAnsi="仿宋" w:eastAsia="仿宋"/>
          <w:color w:val="000000"/>
          <w:sz w:val="32"/>
          <w:szCs w:val="32"/>
        </w:rPr>
        <w:t>人次（不包括陪同人员），共计支出</w:t>
      </w:r>
      <w:r>
        <w:rPr>
          <w:rFonts w:hint="eastAsia" w:ascii="仿宋" w:hAnsi="仿宋" w:eastAsia="仿宋"/>
          <w:color w:val="000000"/>
          <w:sz w:val="32"/>
          <w:szCs w:val="32"/>
          <w:lang w:val="en-US" w:eastAsia="zh-CN"/>
        </w:rPr>
        <w:t>1.28</w:t>
      </w:r>
      <w:r>
        <w:rPr>
          <w:rFonts w:hint="eastAsia" w:ascii="仿宋" w:hAnsi="仿宋" w:eastAsia="仿宋"/>
          <w:color w:val="000000"/>
          <w:sz w:val="32"/>
          <w:szCs w:val="32"/>
        </w:rPr>
        <w:t>万元，具体内容包括：</w:t>
      </w:r>
      <w:r>
        <w:rPr>
          <w:rFonts w:hint="eastAsia" w:ascii="仿宋" w:hAnsi="仿宋" w:eastAsia="仿宋"/>
          <w:color w:val="000000"/>
          <w:sz w:val="32"/>
          <w:szCs w:val="32"/>
          <w:lang w:eastAsia="zh-CN"/>
        </w:rPr>
        <w:t>接待四川大学、西安石油大学、成都职业技术学院、达州职业技术学院、广安职业技术学院、交通职业技术学院、四川建筑职业技术学院、四川工商职业技术学院、常州职业技术学院</w:t>
      </w:r>
      <w:r>
        <w:rPr>
          <w:rFonts w:hint="eastAsia" w:ascii="仿宋" w:hAnsi="仿宋" w:eastAsia="仿宋"/>
          <w:color w:val="000000"/>
          <w:sz w:val="32"/>
          <w:szCs w:val="32"/>
          <w:lang w:val="en-US" w:eastAsia="zh-CN"/>
        </w:rPr>
        <w:t>等省内外同类院校人员来院参观访问。接待四川省教育厅等上级部门来院检查指导工作。</w:t>
      </w:r>
    </w:p>
    <w:p>
      <w:pPr>
        <w:spacing w:line="600" w:lineRule="exact"/>
        <w:ind w:firstLine="643" w:firstLineChars="200"/>
        <w:rPr>
          <w:rFonts w:hint="eastAsia" w:ascii="仿宋" w:hAnsi="仿宋" w:eastAsia="仿宋"/>
          <w:color w:val="000000"/>
          <w:sz w:val="32"/>
          <w:szCs w:val="32"/>
        </w:rPr>
      </w:pPr>
      <w:r>
        <w:rPr>
          <w:rStyle w:val="15"/>
          <w:rFonts w:hint="eastAsia" w:ascii="仿宋" w:hAnsi="仿宋" w:eastAsia="仿宋"/>
          <w:bCs/>
          <w:color w:val="000000"/>
          <w:sz w:val="32"/>
          <w:szCs w:val="32"/>
          <w:lang w:val="en-US" w:eastAsia="zh-CN"/>
        </w:rPr>
        <w:t>外事接待支出</w:t>
      </w:r>
      <w:r>
        <w:rPr>
          <w:rFonts w:hint="eastAsia" w:ascii="仿宋" w:hAnsi="仿宋" w:eastAsia="仿宋"/>
          <w:color w:val="000000"/>
          <w:sz w:val="32"/>
          <w:szCs w:val="32"/>
          <w:lang w:val="en-US" w:eastAsia="zh-CN"/>
        </w:rPr>
        <w:t>0.23万元，外事接待2批次，13人，共计支出0.23万元，主要用于接待诺贝尔奖得主Robert Huber先生一行，老挝琅勃拉邦省教育体育厅代表团进行学术访问、参观交流 。</w:t>
      </w:r>
    </w:p>
    <w:p>
      <w:pPr>
        <w:spacing w:line="600" w:lineRule="exact"/>
        <w:ind w:firstLine="640"/>
        <w:outlineLvl w:val="1"/>
        <w:rPr>
          <w:rStyle w:val="28"/>
          <w:rFonts w:ascii="黑体" w:hAnsi="黑体" w:eastAsia="黑体"/>
        </w:rPr>
      </w:pPr>
      <w:bookmarkStart w:id="50" w:name="_Toc15377218"/>
      <w:bookmarkStart w:id="51" w:name="_Toc15396610"/>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50"/>
      <w:bookmarkEnd w:id="51"/>
    </w:p>
    <w:p>
      <w:pPr>
        <w:spacing w:line="600" w:lineRule="exact"/>
        <w:ind w:firstLine="640"/>
        <w:rPr>
          <w:rFonts w:ascii="仿宋_GB2312" w:eastAsia="仿宋_GB2312"/>
          <w:color w:val="000000"/>
          <w:sz w:val="32"/>
          <w:szCs w:val="32"/>
        </w:rPr>
      </w:pP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年政府性基金预算拨款支出2015.18万元。</w:t>
      </w:r>
    </w:p>
    <w:p>
      <w:pPr>
        <w:numPr>
          <w:ilvl w:val="0"/>
          <w:numId w:val="3"/>
        </w:numPr>
        <w:spacing w:line="600" w:lineRule="exact"/>
        <w:ind w:firstLine="640"/>
        <w:outlineLvl w:val="1"/>
        <w:rPr>
          <w:rStyle w:val="28"/>
          <w:rFonts w:ascii="黑体" w:hAnsi="黑体" w:eastAsia="黑体"/>
          <w:b w:val="0"/>
        </w:rPr>
      </w:pPr>
      <w:bookmarkStart w:id="52" w:name="_Toc15377219"/>
      <w:bookmarkStart w:id="53" w:name="_Toc15396611"/>
      <w:r>
        <w:rPr>
          <w:rStyle w:val="28"/>
          <w:rFonts w:hint="eastAsia" w:ascii="黑体" w:hAnsi="黑体" w:eastAsia="黑体"/>
          <w:b w:val="0"/>
        </w:rPr>
        <w:t>国有资本经营预算支出决算情况说明</w:t>
      </w:r>
      <w:bookmarkEnd w:id="52"/>
      <w:bookmarkEnd w:id="53"/>
    </w:p>
    <w:p>
      <w:pPr>
        <w:spacing w:line="600" w:lineRule="exact"/>
        <w:ind w:firstLine="645"/>
        <w:rPr>
          <w:rFonts w:hint="eastAsia" w:ascii="仿宋" w:hAnsi="仿宋" w:eastAsia="仿宋"/>
          <w:color w:val="000000"/>
          <w:sz w:val="32"/>
          <w:szCs w:val="32"/>
        </w:rPr>
      </w:pP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年国有资本经营预算拨款支出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pStyle w:val="26"/>
        <w:numPr>
          <w:ilvl w:val="0"/>
          <w:numId w:val="4"/>
        </w:numPr>
        <w:spacing w:line="580" w:lineRule="exact"/>
        <w:ind w:firstLineChars="0"/>
        <w:rPr>
          <w:rStyle w:val="28"/>
          <w:rFonts w:ascii="黑体" w:hAnsi="黑体" w:eastAsia="黑体"/>
          <w:b w:val="0"/>
        </w:rPr>
      </w:pPr>
      <w:r>
        <w:rPr>
          <w:rStyle w:val="28"/>
          <w:rFonts w:hint="eastAsia" w:ascii="黑体" w:hAnsi="黑体" w:eastAsia="黑体"/>
          <w:b w:val="0"/>
        </w:rPr>
        <w:t>预算绩效情况说明</w:t>
      </w:r>
    </w:p>
    <w:p>
      <w:pPr>
        <w:numPr>
          <w:ilvl w:val="0"/>
          <w:numId w:val="5"/>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600" w:lineRule="exact"/>
        <w:ind w:firstLine="645"/>
        <w:rPr>
          <w:rFonts w:hint="eastAsia" w:ascii="仿宋" w:hAnsi="仿宋" w:eastAsia="仿宋"/>
          <w:color w:val="000000"/>
          <w:sz w:val="32"/>
          <w:szCs w:val="32"/>
        </w:rPr>
      </w:pPr>
      <w:r>
        <w:rPr>
          <w:rFonts w:hint="eastAsia" w:ascii="仿宋" w:hAnsi="仿宋" w:eastAsia="仿宋"/>
          <w:color w:val="000000"/>
          <w:sz w:val="32"/>
          <w:szCs w:val="32"/>
          <w:highlight w:val="none"/>
        </w:rPr>
        <w:t>根据预算绩效管理要求，本部</w:t>
      </w:r>
      <w:r>
        <w:rPr>
          <w:rFonts w:hint="eastAsia" w:ascii="仿宋" w:hAnsi="仿宋" w:eastAsia="仿宋"/>
          <w:color w:val="000000"/>
          <w:sz w:val="32"/>
          <w:szCs w:val="32"/>
          <w:highlight w:val="none"/>
          <w:lang w:eastAsia="zh-CN"/>
        </w:rPr>
        <w:t>门</w:t>
      </w:r>
      <w:r>
        <w:rPr>
          <w:rFonts w:hint="eastAsia" w:ascii="仿宋" w:hAnsi="仿宋" w:eastAsia="仿宋"/>
          <w:color w:val="000000"/>
          <w:sz w:val="32"/>
          <w:szCs w:val="32"/>
          <w:highlight w:val="none"/>
        </w:rPr>
        <w:t>在年初预算编制阶段，组织</w:t>
      </w:r>
      <w:r>
        <w:rPr>
          <w:rFonts w:hint="eastAsia" w:ascii="仿宋" w:hAnsi="仿宋" w:eastAsia="仿宋"/>
          <w:color w:val="000000"/>
          <w:sz w:val="32"/>
          <w:szCs w:val="32"/>
          <w:highlight w:val="none"/>
          <w:lang w:eastAsia="zh-CN"/>
        </w:rPr>
        <w:t>对</w:t>
      </w:r>
      <w:r>
        <w:rPr>
          <w:rFonts w:hint="eastAsia" w:ascii="仿宋" w:hAnsi="仿宋" w:eastAsia="仿宋"/>
          <w:color w:val="000000"/>
          <w:sz w:val="32"/>
          <w:szCs w:val="32"/>
          <w:lang w:val="en-US" w:eastAsia="zh-CN"/>
        </w:rPr>
        <w:t>四川省优质院校建设等项目</w:t>
      </w:r>
      <w:r>
        <w:rPr>
          <w:rFonts w:hint="eastAsia" w:ascii="仿宋" w:hAnsi="仿宋" w:eastAsia="仿宋"/>
          <w:color w:val="000000"/>
          <w:sz w:val="32"/>
          <w:szCs w:val="32"/>
          <w:highlight w:val="none"/>
        </w:rPr>
        <w:t>开展了预算事前绩效评估，对</w:t>
      </w:r>
      <w:r>
        <w:rPr>
          <w:rFonts w:hint="eastAsia" w:ascii="仿宋" w:hAnsi="仿宋" w:eastAsia="仿宋"/>
          <w:color w:val="000000"/>
          <w:sz w:val="32"/>
          <w:szCs w:val="32"/>
          <w:highlight w:val="none"/>
          <w:lang w:val="en-US" w:eastAsia="zh-CN"/>
        </w:rPr>
        <w:t>8</w:t>
      </w:r>
      <w:r>
        <w:rPr>
          <w:rFonts w:hint="eastAsia" w:ascii="仿宋" w:hAnsi="仿宋" w:eastAsia="仿宋"/>
          <w:color w:val="000000"/>
          <w:sz w:val="32"/>
          <w:szCs w:val="32"/>
          <w:highlight w:val="none"/>
        </w:rPr>
        <w:t>个项目编制了绩效目标，预</w:t>
      </w:r>
      <w:r>
        <w:rPr>
          <w:rFonts w:hint="eastAsia" w:ascii="仿宋" w:hAnsi="仿宋" w:eastAsia="仿宋"/>
          <w:color w:val="000000"/>
          <w:sz w:val="32"/>
          <w:szCs w:val="32"/>
        </w:rPr>
        <w:t>算执行过程中，选取</w:t>
      </w:r>
      <w:r>
        <w:rPr>
          <w:rFonts w:hint="eastAsia" w:ascii="仿宋" w:hAnsi="仿宋" w:eastAsia="仿宋"/>
          <w:color w:val="000000"/>
          <w:sz w:val="32"/>
          <w:szCs w:val="32"/>
          <w:lang w:val="en-US" w:eastAsia="zh-CN"/>
        </w:rPr>
        <w:t>5</w:t>
      </w:r>
      <w:r>
        <w:rPr>
          <w:rFonts w:hint="eastAsia" w:ascii="仿宋" w:hAnsi="仿宋" w:eastAsia="仿宋"/>
          <w:color w:val="000000"/>
          <w:sz w:val="32"/>
          <w:szCs w:val="32"/>
        </w:rPr>
        <w:t>个项目开展绩效监控，年终执行完毕后，对</w:t>
      </w:r>
      <w:r>
        <w:rPr>
          <w:rFonts w:hint="eastAsia" w:ascii="仿宋" w:hAnsi="仿宋" w:eastAsia="仿宋"/>
          <w:color w:val="000000"/>
          <w:sz w:val="32"/>
          <w:szCs w:val="32"/>
          <w:lang w:val="en-US" w:eastAsia="zh-CN"/>
        </w:rPr>
        <w:t>5</w:t>
      </w:r>
      <w:r>
        <w:rPr>
          <w:rFonts w:hint="eastAsia" w:ascii="仿宋" w:hAnsi="仿宋" w:eastAsia="仿宋"/>
          <w:color w:val="000000"/>
          <w:sz w:val="32"/>
          <w:szCs w:val="32"/>
        </w:rPr>
        <w:t>个项目开展了绩效目标完成情况梳理填报。</w:t>
      </w:r>
    </w:p>
    <w:p>
      <w:pPr>
        <w:spacing w:line="600" w:lineRule="exact"/>
        <w:ind w:firstLine="645"/>
        <w:rPr>
          <w:rFonts w:hint="eastAsia" w:ascii="仿宋" w:hAnsi="仿宋" w:eastAsia="仿宋"/>
          <w:color w:val="000000"/>
          <w:sz w:val="32"/>
          <w:szCs w:val="32"/>
        </w:rPr>
      </w:pPr>
      <w:r>
        <w:rPr>
          <w:rFonts w:hint="eastAsia" w:ascii="仿宋" w:hAnsi="仿宋" w:eastAsia="仿宋"/>
          <w:color w:val="000000"/>
          <w:sz w:val="32"/>
          <w:szCs w:val="32"/>
        </w:rPr>
        <w:t>本部门按要求对201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年部门整体支出开展绩效自评，</w:t>
      </w:r>
      <w:r>
        <w:rPr>
          <w:rFonts w:hint="eastAsia" w:ascii="仿宋" w:hAnsi="仿宋" w:eastAsia="仿宋"/>
          <w:color w:val="000000"/>
          <w:sz w:val="32"/>
          <w:szCs w:val="32"/>
          <w:lang w:eastAsia="zh-CN"/>
        </w:rPr>
        <w:t>从评价情况来看，</w:t>
      </w:r>
      <w:r>
        <w:rPr>
          <w:rFonts w:hint="eastAsia" w:ascii="仿宋" w:hAnsi="仿宋" w:eastAsia="仿宋"/>
          <w:color w:val="000000"/>
          <w:sz w:val="32"/>
          <w:szCs w:val="32"/>
          <w:lang w:val="en-US" w:eastAsia="zh-CN"/>
        </w:rPr>
        <w:t>预、决算编制合理，支出规范，财政支出既确保了学院正常运转，又保证了重点项目的开支。本部门还自行组织了5个项目绩效评价，从评价情况来看支出规范，完成了项目绩效目标。</w:t>
      </w:r>
    </w:p>
    <w:p>
      <w:pPr>
        <w:spacing w:line="600" w:lineRule="exact"/>
        <w:ind w:firstLine="645"/>
        <w:rPr>
          <w:rFonts w:hint="eastAsia" w:ascii="仿宋" w:hAnsi="仿宋" w:eastAsia="仿宋"/>
          <w:color w:val="000000"/>
          <w:sz w:val="32"/>
          <w:szCs w:val="32"/>
          <w:lang w:val="en-US" w:eastAsia="zh-CN"/>
        </w:rPr>
      </w:pPr>
      <w:r>
        <w:rPr>
          <w:rFonts w:hint="eastAsia" w:ascii="仿宋" w:hAnsi="仿宋" w:eastAsia="仿宋" w:cs="楷体_GB2312"/>
          <w:b/>
          <w:bCs/>
          <w:sz w:val="32"/>
          <w:szCs w:val="32"/>
          <w:lang w:eastAsia="zh-CN"/>
        </w:rPr>
        <w:t>（二）</w:t>
      </w: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w:t>
      </w:r>
      <w:r>
        <w:rPr>
          <w:rFonts w:hint="eastAsia" w:ascii="仿宋" w:hAnsi="仿宋" w:eastAsia="仿宋"/>
          <w:color w:val="000000"/>
          <w:sz w:val="32"/>
          <w:szCs w:val="32"/>
          <w:lang w:val="en-US" w:eastAsia="zh-CN"/>
        </w:rPr>
        <w:t>本部门在2019年度部门决算中反映“2019年现代职业教育质量提升计划”“困难大学生就业帮扶”“四川省优质院校建设”“价格临时补贴”“2019年学生资助项目”等5个项目绩效目标实际完成情况。</w:t>
      </w:r>
    </w:p>
    <w:p>
      <w:pPr>
        <w:spacing w:line="600" w:lineRule="exact"/>
        <w:ind w:firstLine="645"/>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1.2019年现代职业教育质量提升计划项目绩效目标完成情况综述。2019年下达乐山职业技术学院现代职业教育质量提升计划专项资金144万元（改革绩效奖补），学院将此专项资金用于优质院校建设工业机器人项目，项目资金预算300万元，其中：省级专项资金144万元，学院配套资金156万元，2019年实际使用275.54万元，资金使用率92%。通过项目实施，为教师提升教学能力和社会技术服务能力提供了条件，进一步推动校企合作，使企业深度参与人才培养和专业建设，提升智能制造技术专业群建设内涵，增强在同类院校的影响力，为乐山及区域众多企业培训高素质技术技能人才，促进企业转型升级。发现的主要问题：因工业机器人应用编程“1+X”，工业机器人操作运维“1+X”职业技能等级证书的推出，项目重新论证方案等原因，项目建设进度未及预期。下一步改进措施：结合工业机器人应用编程“1+X”证书考核内容，加快推进工业机器人系统集成综合实训装备、工业机器人装调与维护实训装置安装调试，进一步推动教学资源建设、课程体系建设和实践教学体系建设。</w:t>
      </w:r>
    </w:p>
    <w:p>
      <w:pPr>
        <w:spacing w:line="600" w:lineRule="exact"/>
        <w:ind w:firstLine="645"/>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2.困难大学生就业帮扶项目绩效目标完成情况综述。项目全年预算数16.8万元，执行数为16.8万元，完成预算的100%。通过项目实施，切实发挥困难毕业生就业帮扶专项经费的作用，帮助困难毕业生顺利就业。</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default" w:ascii="仿宋" w:hAnsi="仿宋" w:eastAsia="仿宋"/>
          <w:color w:val="000000"/>
          <w:sz w:val="32"/>
          <w:szCs w:val="32"/>
          <w:lang w:val="en-US" w:eastAsia="zh-CN"/>
        </w:rPr>
      </w:pPr>
      <w:r>
        <w:rPr>
          <w:rFonts w:hint="eastAsia" w:ascii="仿宋" w:hAnsi="仿宋" w:eastAsia="仿宋"/>
          <w:color w:val="000000"/>
          <w:sz w:val="32"/>
          <w:szCs w:val="32"/>
          <w:lang w:val="en-US" w:eastAsia="zh-CN"/>
        </w:rPr>
        <w:t>3.四川省优质院校建设项目绩效目标完成情况综述。项目全年预算数158.44万元，执行数为158.44万元，完成预算的100%。通过项目实施，学院创新管理体制机制，依章建制，深化人事制度、两级管理、绩效分配、职称评审等改革，形成责权一致、运行顺畅、执行有力的内部治理体系。整合重构光伏材料制备技术、旅游管理、护理、康养、会计、智能制造、移动通信技术、药学共八大专业群。打造了一支高水平</w:t>
      </w:r>
      <w:r>
        <w:rPr>
          <w:rFonts w:hint="default" w:ascii="仿宋" w:hAnsi="仿宋" w:eastAsia="仿宋"/>
          <w:color w:val="000000"/>
          <w:sz w:val="32"/>
          <w:szCs w:val="32"/>
          <w:lang w:val="en-US" w:eastAsia="zh-CN"/>
        </w:rPr>
        <w:t>“</w:t>
      </w:r>
      <w:r>
        <w:rPr>
          <w:rFonts w:hint="eastAsia" w:ascii="仿宋" w:hAnsi="仿宋" w:eastAsia="仿宋"/>
          <w:color w:val="000000"/>
          <w:sz w:val="32"/>
          <w:szCs w:val="32"/>
          <w:lang w:val="en-US" w:eastAsia="zh-CN"/>
        </w:rPr>
        <w:t>双师型</w:t>
      </w:r>
      <w:r>
        <w:rPr>
          <w:rFonts w:hint="default" w:ascii="仿宋" w:hAnsi="仿宋" w:eastAsia="仿宋"/>
          <w:color w:val="000000"/>
          <w:sz w:val="32"/>
          <w:szCs w:val="32"/>
          <w:lang w:val="en-US" w:eastAsia="zh-CN"/>
        </w:rPr>
        <w:t>”</w:t>
      </w:r>
      <w:r>
        <w:rPr>
          <w:rFonts w:hint="eastAsia" w:ascii="仿宋" w:hAnsi="仿宋" w:eastAsia="仿宋"/>
          <w:color w:val="000000"/>
          <w:sz w:val="32"/>
          <w:szCs w:val="32"/>
          <w:lang w:val="en-US" w:eastAsia="zh-CN"/>
        </w:rPr>
        <w:t>队伍，深化职称自主评审和绩效分配改革激发队伍活力，为地方高职院校提供了可借鉴经验，成为兄弟院校交流学习典型。存在问题：个别子项目和任务的建设成效还未显现或效果不明显。下一步改进措施：加强专项资金管理，进一步提高资金使用效益。</w:t>
      </w:r>
    </w:p>
    <w:p>
      <w:pPr>
        <w:spacing w:line="600" w:lineRule="exact"/>
        <w:ind w:firstLine="645"/>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4.</w:t>
      </w:r>
      <w:r>
        <w:rPr>
          <w:rFonts w:hint="eastAsia" w:ascii="仿宋" w:hAnsi="仿宋" w:eastAsia="仿宋"/>
          <w:color w:val="000000"/>
          <w:sz w:val="32"/>
          <w:szCs w:val="32"/>
          <w:highlight w:val="none"/>
          <w:lang w:val="en-US" w:eastAsia="zh-CN"/>
        </w:rPr>
        <w:t>价格临时补贴项目绩效目标完成情况综述。项目全年预算数198万元，执行数为161.58万元，完成预算的81.61%。</w:t>
      </w:r>
      <w:r>
        <w:rPr>
          <w:rFonts w:hint="eastAsia" w:ascii="仿宋" w:hAnsi="仿宋" w:eastAsia="仿宋"/>
          <w:color w:val="000000"/>
          <w:sz w:val="32"/>
          <w:szCs w:val="32"/>
          <w:lang w:val="en-US" w:eastAsia="zh-CN"/>
        </w:rPr>
        <w:t>认真落实家庭经济困难学生价格临时补贴政策，切实缓解物价上涨给学生带来的生活压力，确保其正常学习和生活。</w:t>
      </w:r>
    </w:p>
    <w:p>
      <w:pPr>
        <w:spacing w:line="600" w:lineRule="exact"/>
        <w:ind w:firstLine="645"/>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5.2019年学生资助项目（按事业收入5%计提 ）绩效目标完成情况综述。项目全年预算数235万元，执行数为235万元，完成预算的100%。通过项目实施，保障贫困学生及时领取学院奖助学金，勤工助学学生及时领取报酬，留学生获得生活补助，家庭经济贫困的学生及时获得临时生活困难补助，通过资助资金的发放，贫困生顺利完成学业，生活质量获得提高，提升了学院声誉度，社会满意度。发现的主要问题：资助比例需进一步增加。下一步改进措施：增加勤工助学岗位。</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textAlignment w:val="auto"/>
        <w:rPr>
          <w:rFonts w:hint="eastAsia" w:ascii="仿宋_GB2312" w:hAnsi="仿宋_GB2312" w:eastAsia="仿宋_GB2312" w:cs="仿宋_GB2312"/>
          <w:sz w:val="32"/>
          <w:szCs w:val="32"/>
          <w:lang w:eastAsia="zh-CN"/>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6"/>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w:t>
            </w:r>
            <w:r>
              <w:rPr>
                <w:rFonts w:hint="eastAsia" w:ascii="宋体" w:hAnsi="宋体" w:cs="宋体"/>
                <w:color w:val="000000"/>
                <w:kern w:val="0"/>
                <w:sz w:val="36"/>
                <w:szCs w:val="36"/>
                <w:lang w:val="en-US" w:eastAsia="zh-CN" w:bidi="ar"/>
              </w:rPr>
              <w:t>9</w:t>
            </w:r>
            <w:r>
              <w:rPr>
                <w:rFonts w:hint="eastAsia" w:ascii="宋体" w:hAnsi="宋体" w:cs="宋体"/>
                <w:color w:val="000000"/>
                <w:kern w:val="0"/>
                <w:sz w:val="36"/>
                <w:szCs w:val="36"/>
                <w:lang w:bidi="ar"/>
              </w:rPr>
              <w:t xml:space="preserve">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2019年现代职业教育质量提升计划</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乐山职业技术学院</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300万元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仿宋_GB2312" w:cs="宋体"/>
                <w:color w:val="000000"/>
                <w:sz w:val="24"/>
                <w:lang w:eastAsia="zh-CN"/>
              </w:rPr>
            </w:pPr>
            <w:r>
              <w:rPr>
                <w:rFonts w:hint="eastAsia" w:ascii="宋体" w:hAnsi="宋体" w:cs="宋体"/>
                <w:color w:val="000000"/>
                <w:sz w:val="24"/>
                <w:lang w:eastAsia="zh-CN"/>
              </w:rPr>
              <w:t>275.54万元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300万元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275.54万元</w:t>
            </w:r>
          </w:p>
        </w:tc>
      </w:tr>
      <w:tr>
        <w:tblPrEx>
          <w:tblCellMar>
            <w:top w:w="0" w:type="dxa"/>
            <w:left w:w="0" w:type="dxa"/>
            <w:bottom w:w="0" w:type="dxa"/>
            <w:right w:w="0" w:type="dxa"/>
          </w:tblCellMar>
        </w:tblPrEx>
        <w:trPr>
          <w:trHeight w:val="151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hint="eastAsia" w:ascii="宋体" w:hAnsi="宋体" w:cs="宋体"/>
                <w:color w:val="000000"/>
                <w:sz w:val="24"/>
                <w:lang w:val="en-US" w:eastAsia="zh-CN"/>
              </w:rPr>
            </w:pPr>
            <w:r>
              <w:rPr>
                <w:rFonts w:hint="eastAsia" w:ascii="宋体" w:hAnsi="宋体" w:cs="宋体"/>
                <w:color w:val="000000"/>
                <w:sz w:val="24"/>
                <w:lang w:val="en-US" w:eastAsia="zh-CN"/>
              </w:rPr>
              <w:t>0</w:t>
            </w:r>
          </w:p>
          <w:p>
            <w:pPr>
              <w:jc w:val="center"/>
              <w:rPr>
                <w:rFonts w:hint="eastAsia" w:ascii="宋体" w:hAnsi="宋体" w:cs="宋体"/>
                <w:color w:val="000000"/>
                <w:sz w:val="24"/>
                <w:lang w:val="en-US" w:eastAsia="zh-CN"/>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both"/>
              <w:textAlignment w:val="center"/>
              <w:rPr>
                <w:rFonts w:ascii="宋体" w:hAnsi="宋体" w:cs="宋体"/>
                <w:color w:val="000000"/>
                <w:sz w:val="24"/>
              </w:rPr>
            </w:pPr>
            <w:r>
              <w:rPr>
                <w:rFonts w:hint="eastAsia" w:ascii="宋体" w:hAnsi="宋体" w:cs="宋体"/>
                <w:color w:val="000000"/>
                <w:kern w:val="0"/>
                <w:sz w:val="24"/>
                <w:lang w:bidi="ar"/>
              </w:rPr>
              <w:t>工业机器人系统集成综合实训装备、工业机器人装调与维护实训装置、智能制造数字化创新设计与虚拟仿真设备、实训中心装修、校外实训基地、教学资源建设、课程体系建设、师资培训、实践教学体系建设等具体建设内容。</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both"/>
              <w:textAlignment w:val="center"/>
              <w:rPr>
                <w:rFonts w:ascii="宋体" w:hAnsi="宋体" w:cs="宋体"/>
                <w:color w:val="000000"/>
                <w:sz w:val="24"/>
              </w:rPr>
            </w:pPr>
            <w:r>
              <w:rPr>
                <w:rFonts w:hint="eastAsia" w:ascii="宋体" w:hAnsi="宋体" w:cs="宋体"/>
                <w:color w:val="000000"/>
                <w:kern w:val="0"/>
                <w:sz w:val="24"/>
                <w:lang w:bidi="ar"/>
              </w:rPr>
              <w:t>项目目前已完成工业机器人系统集成综合实训装备、工业机器人装调与维护实训装置、智能制造数字化创新设计与虚拟仿真设备招投标，进入了设备供应阶段；实训中心装修已进入项目立项审批阶段。</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师资培训人数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4人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4人</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课程体系建设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开发1门课程标准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1门</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调研报告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1份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1份</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虚拟仿真设备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完成备货</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完成备货</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ascii="宋体" w:hAnsi="宋体" w:cs="宋体"/>
                <w:color w:val="000000"/>
                <w:sz w:val="24"/>
              </w:rPr>
              <w:t>1+</w:t>
            </w:r>
            <w:r>
              <w:rPr>
                <w:rFonts w:hint="eastAsia" w:ascii="宋体" w:hAnsi="宋体" w:cs="宋体"/>
                <w:color w:val="000000"/>
                <w:sz w:val="24"/>
              </w:rPr>
              <w:t>X证书试点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申报工业机器人应用编程“1+X”证书试点</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成功申报工业机器人应用编程“1+X”证书试点</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完成质量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很好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很好</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top"/>
          </w:tcPr>
          <w:p>
            <w:pPr>
              <w:widowControl/>
              <w:jc w:val="center"/>
              <w:textAlignment w:val="center"/>
              <w:rPr>
                <w:rFonts w:hint="eastAsia" w:ascii="宋体" w:hAnsi="宋体" w:cs="宋体"/>
                <w:color w:val="000000"/>
                <w:kern w:val="0"/>
                <w:sz w:val="24"/>
                <w:lang w:bidi="ar"/>
              </w:rPr>
            </w:pPr>
          </w:p>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lang w:bidi="ar"/>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rPr>
              <w:t>完成</w:t>
            </w:r>
            <w:r>
              <w:rPr>
                <w:rFonts w:hint="eastAsia" w:ascii="宋体" w:hAnsi="宋体" w:cs="宋体"/>
                <w:color w:val="000000"/>
                <w:sz w:val="24"/>
                <w:lang w:eastAsia="zh-CN"/>
              </w:rPr>
              <w:t>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按时完成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eastAsia="zh-CN"/>
              </w:rPr>
              <w:t>按时完成</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cs="宋体"/>
                <w:color w:val="000000"/>
                <w:sz w:val="24"/>
                <w:lang w:eastAsia="zh-CN"/>
              </w:rPr>
              <w:t>服务社会能力</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显著提升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960" w:firstLineChars="400"/>
              <w:jc w:val="left"/>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eastAsia="zh-CN"/>
              </w:rPr>
              <w:t>显著提升</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rPr>
              <w:t>学院办学声誉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rPr>
              <w:t>显著提高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rPr>
              <w:t>显著提高</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学生满意度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满意</w:t>
            </w:r>
          </w:p>
        </w:tc>
      </w:tr>
    </w:tbl>
    <w:p>
      <w:pPr>
        <w:tabs>
          <w:tab w:val="left" w:pos="312"/>
        </w:tabs>
        <w:spacing w:line="580" w:lineRule="exact"/>
        <w:rPr>
          <w:rFonts w:ascii="仿宋_GB2312" w:hAnsi="仿宋_GB2312" w:eastAsia="仿宋_GB2312" w:cs="仿宋_GB2312"/>
          <w:sz w:val="32"/>
          <w:szCs w:val="32"/>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6"/>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w:t>
            </w:r>
            <w:r>
              <w:rPr>
                <w:rFonts w:hint="eastAsia" w:ascii="宋体" w:hAnsi="宋体" w:cs="宋体"/>
                <w:color w:val="000000"/>
                <w:kern w:val="0"/>
                <w:sz w:val="36"/>
                <w:szCs w:val="36"/>
                <w:lang w:val="en-US" w:eastAsia="zh-CN" w:bidi="ar"/>
              </w:rPr>
              <w:t>9</w:t>
            </w:r>
            <w:r>
              <w:rPr>
                <w:rFonts w:hint="eastAsia" w:ascii="宋体" w:hAnsi="宋体" w:cs="宋体"/>
                <w:color w:val="000000"/>
                <w:kern w:val="0"/>
                <w:sz w:val="36"/>
                <w:szCs w:val="36"/>
                <w:lang w:bidi="ar"/>
              </w:rPr>
              <w:t xml:space="preserve">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困难大学生就业帮扶</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乐山职业技术学院</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16.8万元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16.8万元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16.8万元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16.8万元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hint="eastAsia" w:ascii="宋体" w:hAnsi="宋体" w:cs="宋体"/>
                <w:color w:val="000000"/>
                <w:sz w:val="24"/>
              </w:rPr>
            </w:pPr>
          </w:p>
          <w:p>
            <w:pPr>
              <w:widowControl/>
              <w:jc w:val="left"/>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按照省教育厅高校学生工作处的要求，完成201</w:t>
            </w:r>
            <w:r>
              <w:rPr>
                <w:rFonts w:hint="eastAsia" w:ascii="宋体" w:hAnsi="宋体" w:cs="宋体"/>
                <w:color w:val="000000"/>
                <w:sz w:val="24"/>
                <w:lang w:val="en-US" w:eastAsia="zh-CN"/>
              </w:rPr>
              <w:t>9</w:t>
            </w:r>
            <w:r>
              <w:rPr>
                <w:rFonts w:hint="eastAsia" w:ascii="宋体" w:hAnsi="宋体" w:cs="宋体"/>
                <w:color w:val="000000"/>
                <w:sz w:val="24"/>
              </w:rPr>
              <w:t>年高校毕业生就业困难帮扶工作，对</w:t>
            </w:r>
            <w:r>
              <w:rPr>
                <w:rFonts w:hint="eastAsia" w:ascii="宋体" w:hAnsi="宋体" w:cs="宋体"/>
                <w:color w:val="000000"/>
                <w:sz w:val="24"/>
                <w:lang w:val="en-US" w:eastAsia="zh-CN"/>
              </w:rPr>
              <w:t>280</w:t>
            </w:r>
            <w:r>
              <w:rPr>
                <w:rFonts w:hint="eastAsia" w:ascii="宋体" w:hAnsi="宋体" w:cs="宋体"/>
                <w:color w:val="000000"/>
                <w:sz w:val="24"/>
              </w:rPr>
              <w:t>名困难毕业生进行就业帮扶。</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hint="eastAsia" w:ascii="宋体" w:hAnsi="宋体" w:cs="宋体"/>
                <w:color w:val="auto"/>
                <w:sz w:val="24"/>
              </w:rPr>
            </w:pPr>
          </w:p>
          <w:p>
            <w:pPr>
              <w:widowControl/>
              <w:jc w:val="left"/>
              <w:textAlignment w:val="center"/>
              <w:rPr>
                <w:rFonts w:ascii="宋体" w:hAnsi="宋体" w:eastAsia="宋体" w:cs="宋体"/>
                <w:color w:val="000000"/>
                <w:kern w:val="2"/>
                <w:sz w:val="24"/>
                <w:szCs w:val="24"/>
                <w:lang w:val="en-US" w:eastAsia="zh-CN" w:bidi="ar-SA"/>
              </w:rPr>
            </w:pPr>
            <w:r>
              <w:rPr>
                <w:rFonts w:hint="eastAsia" w:ascii="宋体" w:hAnsi="宋体" w:cs="宋体"/>
                <w:color w:val="auto"/>
                <w:sz w:val="24"/>
              </w:rPr>
              <w:t>完成</w:t>
            </w:r>
            <w:r>
              <w:rPr>
                <w:rFonts w:hint="eastAsia" w:ascii="宋体" w:hAnsi="宋体" w:cs="宋体"/>
                <w:color w:val="auto"/>
                <w:sz w:val="24"/>
                <w:lang w:val="en-US" w:eastAsia="zh-CN"/>
              </w:rPr>
              <w:t>280</w:t>
            </w:r>
            <w:r>
              <w:rPr>
                <w:rFonts w:hint="eastAsia" w:ascii="宋体" w:hAnsi="宋体" w:cs="宋体"/>
                <w:color w:val="auto"/>
                <w:sz w:val="24"/>
              </w:rPr>
              <w:t>名困难毕业生的就业帮扶，将600元</w:t>
            </w:r>
            <w:r>
              <w:rPr>
                <w:rFonts w:ascii="宋体" w:hAnsi="宋体" w:cs="宋体"/>
                <w:color w:val="auto"/>
                <w:sz w:val="24"/>
              </w:rPr>
              <w:t>/</w:t>
            </w:r>
            <w:r>
              <w:rPr>
                <w:rFonts w:hint="eastAsia" w:ascii="宋体" w:hAnsi="宋体" w:cs="宋体"/>
                <w:color w:val="auto"/>
                <w:sz w:val="24"/>
              </w:rPr>
              <w:t>生的帮扶经费足额发放给困难毕业生。</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16.8</w:t>
            </w:r>
            <w:r>
              <w:rPr>
                <w:rFonts w:hint="eastAsia" w:ascii="宋体" w:hAnsi="宋体" w:cs="宋体"/>
                <w:color w:val="000000"/>
                <w:sz w:val="24"/>
              </w:rPr>
              <w:t>万元，按600元</w:t>
            </w:r>
            <w:r>
              <w:rPr>
                <w:rFonts w:ascii="宋体" w:hAnsi="宋体" w:cs="宋体"/>
                <w:color w:val="000000"/>
                <w:sz w:val="24"/>
              </w:rPr>
              <w:t>/</w:t>
            </w:r>
            <w:r>
              <w:rPr>
                <w:rFonts w:hint="eastAsia" w:ascii="宋体" w:hAnsi="宋体" w:cs="宋体"/>
                <w:color w:val="000000"/>
                <w:sz w:val="24"/>
              </w:rPr>
              <w:t>生，发放给困难毕业生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完成</w:t>
            </w:r>
            <w:r>
              <w:rPr>
                <w:rFonts w:hint="eastAsia" w:ascii="宋体" w:hAnsi="宋体" w:cs="宋体"/>
                <w:color w:val="000000"/>
                <w:sz w:val="24"/>
                <w:lang w:val="en-US" w:eastAsia="zh-CN"/>
              </w:rPr>
              <w:t>16.8</w:t>
            </w:r>
            <w:r>
              <w:rPr>
                <w:rFonts w:hint="eastAsia" w:ascii="宋体" w:hAnsi="宋体" w:cs="宋体"/>
                <w:color w:val="000000"/>
                <w:sz w:val="24"/>
              </w:rPr>
              <w:t>万元的困难毕业生就业帮扶资金的发放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完成</w:t>
            </w:r>
            <w:r>
              <w:rPr>
                <w:rFonts w:hint="eastAsia" w:ascii="宋体" w:hAnsi="宋体" w:cs="宋体"/>
                <w:color w:val="000000"/>
                <w:sz w:val="24"/>
                <w:lang w:val="en-US" w:eastAsia="zh-CN"/>
              </w:rPr>
              <w:t>16.8</w:t>
            </w:r>
            <w:r>
              <w:rPr>
                <w:rFonts w:hint="eastAsia" w:ascii="宋体" w:hAnsi="宋体" w:cs="宋体"/>
                <w:color w:val="000000"/>
                <w:sz w:val="24"/>
              </w:rPr>
              <w:t>万元的困难毕业生就业帮扶资金的发放</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rPr>
              <w:t>发放困难毕业生</w:t>
            </w:r>
            <w:r>
              <w:rPr>
                <w:rFonts w:hint="eastAsia" w:ascii="宋体" w:hAnsi="宋体" w:cs="宋体"/>
                <w:color w:val="000000"/>
                <w:sz w:val="24"/>
                <w:lang w:eastAsia="zh-CN"/>
              </w:rPr>
              <w:t>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280人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280人</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发放无差错</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发放无差错</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发放无差错</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按时完成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按时完成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按时完成</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促进困难毕业生顺利就业</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促进困难毕业生顺利就业</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促进困难毕业生顺利就业</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100%</w:t>
            </w:r>
          </w:p>
        </w:tc>
      </w:tr>
    </w:tbl>
    <w:p>
      <w:pPr>
        <w:rPr>
          <w:rFonts w:ascii="Calibri" w:hAnsi="Calibri"/>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6"/>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w:t>
            </w:r>
            <w:r>
              <w:rPr>
                <w:rFonts w:hint="eastAsia" w:ascii="宋体" w:hAnsi="宋体" w:cs="宋体"/>
                <w:color w:val="000000"/>
                <w:kern w:val="0"/>
                <w:sz w:val="36"/>
                <w:szCs w:val="36"/>
                <w:lang w:val="en-US" w:eastAsia="zh-CN" w:bidi="ar"/>
              </w:rPr>
              <w:t>9</w:t>
            </w:r>
            <w:r>
              <w:rPr>
                <w:rFonts w:hint="eastAsia" w:ascii="宋体" w:hAnsi="宋体" w:cs="宋体"/>
                <w:color w:val="000000"/>
                <w:kern w:val="0"/>
                <w:sz w:val="36"/>
                <w:szCs w:val="36"/>
                <w:lang w:bidi="ar"/>
              </w:rPr>
              <w:t xml:space="preserve">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四川省</w:t>
            </w:r>
            <w:r>
              <w:rPr>
                <w:rFonts w:hint="eastAsia" w:ascii="宋体" w:hAnsi="宋体" w:cs="宋体"/>
                <w:color w:val="000000"/>
                <w:sz w:val="24"/>
              </w:rPr>
              <w:t>优质院校</w:t>
            </w:r>
            <w:r>
              <w:rPr>
                <w:rFonts w:hint="eastAsia" w:ascii="宋体" w:hAnsi="宋体" w:cs="宋体"/>
                <w:color w:val="000000"/>
                <w:sz w:val="24"/>
                <w:lang w:eastAsia="zh-CN"/>
              </w:rPr>
              <w:t>建设</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乐山职业技术学院</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158.44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158.44</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158.44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158.44</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r>
              <w:rPr>
                <w:rFonts w:hint="eastAsia"/>
                <w:lang w:val="en-US" w:eastAsia="zh-CN"/>
              </w:rPr>
              <w:t>试运行院系两级管理实施办法和实施细则。出台新的教师职称评审办法等制度。完成学分制实施方案（试行）的制定。健全理事会校企合作平台保障体系。开展酒店管理、护理、光伏材料制备技术专业现代学徒制试点工作。依托硅材料职业教育集团，建立行指委领导下的专业指导委员会，建立产教融合、校企协同育人的制度体系，基本形成专业与产业、企业与学校良性互动的机制。筹备并成立乐山市医教联合体理事会，建立理事会章程。在建专业群中选择试点专业开展校企合作共建专业。制订学院内部质量保证体系建设与运行实施方案;各部门构建自我质量保证体系;推进学院质量文化建设;启动基于校本数据的信息化管理平台建设;护理、药学、光伏材料制备技术、移动通信技术、会计、旅游管理、康复治疗技术、数控技术等8个专业试点开展教学工作诊断与改进。组建区域职教联盟，构建托管工作运行体系和运行机制。托管马边碧桂园职业中学；制定托管管理制度、托管工作实施方案，托管工作运行正常。搭建马边碧桂园职业中学业试点专业中高职衔接人才培养体系。打造8个高水平专业群。</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rPr>
                <w:rFonts w:hint="eastAsia"/>
              </w:rPr>
            </w:pPr>
            <w:r>
              <w:rPr>
                <w:rFonts w:hint="eastAsia"/>
                <w:lang w:val="en-US" w:eastAsia="zh-CN"/>
              </w:rPr>
              <w:t>创新管理体制机制，依章建制，深化人事制度、两级管理、绩效分配、职称评审等改革，形成责权一致、运行顺畅、执行有力的内部治理体系。整合重构光伏材料制备技术、旅游管理、护理、康养、会计、智能制造、移动通信技术、药学共八大专业群。打造了一支高水平</w:t>
            </w:r>
            <w:r>
              <w:rPr>
                <w:rFonts w:hint="default"/>
                <w:lang w:val="en-US" w:eastAsia="zh-CN"/>
              </w:rPr>
              <w:t>“</w:t>
            </w:r>
            <w:r>
              <w:rPr>
                <w:rFonts w:hint="eastAsia"/>
                <w:lang w:val="en-US" w:eastAsia="zh-CN"/>
              </w:rPr>
              <w:t>双师型</w:t>
            </w:r>
            <w:r>
              <w:rPr>
                <w:rFonts w:hint="default"/>
                <w:lang w:val="en-US" w:eastAsia="zh-CN"/>
              </w:rPr>
              <w:t>”</w:t>
            </w:r>
            <w:r>
              <w:rPr>
                <w:rFonts w:hint="eastAsia"/>
                <w:lang w:val="en-US" w:eastAsia="zh-CN"/>
              </w:rPr>
              <w:t xml:space="preserve">队伍，深化职称自主评审和绩效分配改革激发队伍活力，为地方高职院校提供了可借鉴经验，成为兄弟院校交流学习典型。科技开发与社会服务能力建设，扶贫“组合拳”助力乡村精准脱贫，走上乡村振兴“快车道”。提升国际交流与合作水平建设。落实立德树人服务学生发展，党建引领“大思政”全面融入育人过程。区域职教协同发展机制创新，发挥龙头作用，推动区域职教体系建设。信息化与智慧校园建设，建设智慧管理、智慧教学、智慧生活、智慧能源 </w:t>
            </w:r>
            <w:r>
              <w:rPr>
                <w:rFonts w:hint="default"/>
                <w:lang w:val="en-US" w:eastAsia="zh-CN"/>
              </w:rPr>
              <w:t xml:space="preserve">4 </w:t>
            </w:r>
            <w:r>
              <w:rPr>
                <w:rFonts w:hint="eastAsia"/>
                <w:lang w:val="en-US" w:eastAsia="zh-CN"/>
              </w:rPr>
              <w:t>个信息化平台，以“云大物移智”信息新技术为支撑，实现了运行安全稳定，构建了网络化、数字化、无纸化、智能化、透明化新型管理、教育、学习、生活和研究的教育环境。</w:t>
            </w:r>
          </w:p>
          <w:p/>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p>
        </w:tc>
        <w:tc>
          <w:tcPr>
            <w:tcW w:w="1367"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项目完成指标</w:t>
            </w:r>
          </w:p>
        </w:tc>
        <w:tc>
          <w:tcPr>
            <w:tcW w:w="10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jc w:val="center"/>
              <w:textAlignment w:val="center"/>
              <w:rPr>
                <w:rFonts w:hint="eastAsia" w:ascii="宋体" w:hAnsi="宋体" w:cs="宋体"/>
                <w:color w:val="000000"/>
                <w:kern w:val="0"/>
                <w:sz w:val="24"/>
                <w:lang w:bidi="ar"/>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在校生人数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12000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11440</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专业数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48</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50</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省级重点专业</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3</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3</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高水平专业群</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8</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8</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省紧缺领域教师技艺技能传承创新平台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2</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2</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szCs w:val="21"/>
              </w:rPr>
              <w:t>省级及以上教学名师、技能大师(人)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szCs w:val="21"/>
                <w:lang w:eastAsia="zh-CN"/>
              </w:rPr>
              <w:t>国家级教学创新团队</w:t>
            </w:r>
            <w:r>
              <w:rPr>
                <w:rFonts w:hint="eastAsia" w:ascii="宋体" w:hAnsi="宋体" w:cs="宋体"/>
                <w:szCs w:val="21"/>
              </w:rPr>
              <w:t>(个)</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szCs w:val="21"/>
              </w:rPr>
              <w:t>省级及以上学术带头人(人)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2</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2</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jc w:val="center"/>
              <w:textAlignment w:val="center"/>
              <w:rPr>
                <w:rFonts w:ascii="宋体" w:hAnsi="宋体" w:cs="宋体"/>
                <w:color w:val="000000"/>
                <w:sz w:val="24"/>
              </w:rPr>
            </w:pPr>
            <w:r>
              <w:rPr>
                <w:rFonts w:hint="eastAsia" w:ascii="宋体" w:hAnsi="宋体" w:eastAsia="宋体" w:cs="宋体"/>
                <w:i w:val="0"/>
                <w:color w:val="000000"/>
                <w:kern w:val="0"/>
                <w:sz w:val="20"/>
                <w:szCs w:val="20"/>
                <w:u w:val="none"/>
                <w:lang w:val="en-US" w:eastAsia="zh-CN" w:bidi="ar"/>
              </w:rPr>
              <w:t>省级职业院校技能大赛获奖数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jc w:val="center"/>
              <w:textAlignment w:val="center"/>
              <w:rPr>
                <w:rFonts w:ascii="宋体" w:hAnsi="宋体" w:cs="宋体"/>
                <w:color w:val="000000"/>
                <w:sz w:val="24"/>
              </w:rPr>
            </w:pPr>
            <w:r>
              <w:rPr>
                <w:rFonts w:hint="eastAsia" w:ascii="宋体" w:hAnsi="宋体" w:eastAsia="宋体" w:cs="宋体"/>
                <w:i w:val="0"/>
                <w:color w:val="000000"/>
                <w:kern w:val="0"/>
                <w:sz w:val="20"/>
                <w:szCs w:val="20"/>
                <w:u w:val="none"/>
                <w:lang w:val="en-US" w:eastAsia="zh-CN" w:bidi="ar"/>
              </w:rPr>
              <w:t>20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jc w:val="center"/>
              <w:textAlignment w:val="center"/>
              <w:rPr>
                <w:rFonts w:ascii="宋体" w:hAnsi="宋体" w:cs="宋体"/>
                <w:color w:val="000000"/>
                <w:sz w:val="24"/>
              </w:rPr>
            </w:pPr>
            <w:r>
              <w:rPr>
                <w:rFonts w:hint="eastAsia" w:ascii="宋体" w:hAnsi="宋体" w:eastAsia="宋体" w:cs="宋体"/>
                <w:i w:val="0"/>
                <w:color w:val="000000"/>
                <w:kern w:val="0"/>
                <w:sz w:val="20"/>
                <w:szCs w:val="20"/>
                <w:u w:val="none"/>
                <w:lang w:val="en-US" w:eastAsia="zh-CN" w:bidi="ar"/>
              </w:rPr>
              <w:t>20</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jc w:val="center"/>
              <w:textAlignment w:val="center"/>
              <w:rPr>
                <w:rFonts w:ascii="宋体" w:hAnsi="宋体" w:cs="宋体"/>
                <w:color w:val="000000"/>
                <w:sz w:val="24"/>
              </w:rPr>
            </w:pPr>
            <w:r>
              <w:rPr>
                <w:rFonts w:hint="eastAsia" w:ascii="宋体" w:hAnsi="宋体" w:eastAsia="宋体" w:cs="宋体"/>
                <w:i w:val="0"/>
                <w:color w:val="000000"/>
                <w:kern w:val="0"/>
                <w:sz w:val="20"/>
                <w:szCs w:val="20"/>
                <w:u w:val="none"/>
                <w:lang w:val="en-US" w:eastAsia="zh-CN" w:bidi="ar"/>
              </w:rPr>
              <w:t>省级教师教学能力大赛获奖数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jc w:val="center"/>
              <w:textAlignment w:val="center"/>
              <w:rPr>
                <w:rFonts w:ascii="宋体" w:hAnsi="宋体" w:cs="宋体"/>
                <w:color w:val="000000"/>
                <w:sz w:val="24"/>
              </w:rPr>
            </w:pPr>
            <w:r>
              <w:rPr>
                <w:rFonts w:hint="eastAsia" w:ascii="宋体" w:hAnsi="宋体" w:eastAsia="宋体" w:cs="宋体"/>
                <w:i w:val="0"/>
                <w:color w:val="000000"/>
                <w:kern w:val="0"/>
                <w:sz w:val="20"/>
                <w:szCs w:val="20"/>
                <w:u w:val="none"/>
                <w:lang w:val="en-US" w:eastAsia="zh-CN" w:bidi="ar"/>
              </w:rPr>
              <w:t>10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jc w:val="center"/>
              <w:textAlignment w:val="center"/>
              <w:rPr>
                <w:rFonts w:ascii="宋体" w:hAnsi="宋体" w:cs="宋体"/>
                <w:color w:val="000000"/>
                <w:sz w:val="24"/>
              </w:rPr>
            </w:pPr>
            <w:r>
              <w:rPr>
                <w:rFonts w:hint="eastAsia" w:ascii="宋体" w:hAnsi="宋体" w:eastAsia="宋体" w:cs="宋体"/>
                <w:i w:val="0"/>
                <w:color w:val="000000"/>
                <w:kern w:val="0"/>
                <w:sz w:val="20"/>
                <w:szCs w:val="20"/>
                <w:u w:val="none"/>
                <w:lang w:val="en-US" w:eastAsia="zh-CN" w:bidi="ar"/>
              </w:rPr>
              <w:t>11</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kern w:val="0"/>
                <w:szCs w:val="21"/>
              </w:rPr>
              <w:t>教师教学能力大赛获奖数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20</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kern w:val="0"/>
                <w:szCs w:val="21"/>
                <w:lang w:val="en-US" w:eastAsia="zh-CN"/>
              </w:rPr>
              <w:t>预期省级及以上标志性成果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182</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216</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项目完成时间节点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按任务书推进</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按任务书进度要求完成</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c>
          <w:tcPr>
            <w:tcW w:w="10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预算资金使用进度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按资金投入预算表在项目建成后及时组织验收并支付资金。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按资金投入预算表在项目建成后及时组织验收并支付资金。</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人才培养质量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显著提高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显著提高</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重点专业与区域行业重点产业契合度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显著提高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显著提高</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c>
          <w:tcPr>
            <w:tcW w:w="10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学院办学声誉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显著提高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显著提高</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Cs w:val="21"/>
              </w:rPr>
              <w:t>学生母校满意度（%）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cs="宋体"/>
                <w:szCs w:val="21"/>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Cs w:val="21"/>
              </w:rPr>
              <w:t>96</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Cs w:val="21"/>
              </w:rPr>
              <w:t>雇主满意度（%）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cs="宋体"/>
                <w:szCs w:val="21"/>
              </w:rPr>
              <w:t>98%</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Cs w:val="21"/>
              </w:rPr>
              <w:t>100%</w:t>
            </w:r>
          </w:p>
        </w:tc>
      </w:tr>
    </w:tbl>
    <w:p>
      <w:pPr>
        <w:spacing w:line="580" w:lineRule="exact"/>
        <w:rPr>
          <w:rFonts w:ascii="仿宋_GB2312" w:hAnsi="仿宋_GB2312" w:eastAsia="仿宋_GB2312" w:cs="仿宋_GB2312"/>
          <w:sz w:val="32"/>
          <w:szCs w:val="32"/>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6"/>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w:t>
            </w:r>
            <w:r>
              <w:rPr>
                <w:rFonts w:hint="eastAsia" w:ascii="宋体" w:hAnsi="宋体" w:cs="宋体"/>
                <w:color w:val="000000"/>
                <w:kern w:val="0"/>
                <w:sz w:val="36"/>
                <w:szCs w:val="36"/>
                <w:lang w:val="en-US" w:eastAsia="zh-CN" w:bidi="ar"/>
              </w:rPr>
              <w:t>9</w:t>
            </w:r>
            <w:r>
              <w:rPr>
                <w:rFonts w:hint="eastAsia" w:ascii="宋体" w:hAnsi="宋体" w:cs="宋体"/>
                <w:color w:val="000000"/>
                <w:kern w:val="0"/>
                <w:sz w:val="36"/>
                <w:szCs w:val="36"/>
                <w:lang w:bidi="ar"/>
              </w:rPr>
              <w:t xml:space="preserve">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价格临时补贴项目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乐山职业技术学院</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198万元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161.58万元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198万元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161.58万元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68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lang w:eastAsia="zh-CN"/>
              </w:rPr>
              <w:t>认真落实家庭经济困难学生价格临时补贴政策</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按时发放家庭经济困难学生价格临时补贴，切实缓解物价上涨给学生带来的生活压力，确保其正常学习和生活。</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720" w:firstLineChars="300"/>
              <w:jc w:val="left"/>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发放人数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覆盖</w:t>
            </w:r>
            <w:r>
              <w:rPr>
                <w:rFonts w:hint="eastAsia" w:ascii="宋体" w:hAnsi="宋体" w:cs="宋体"/>
                <w:color w:val="000000"/>
                <w:sz w:val="24"/>
                <w:lang w:val="en-US" w:eastAsia="zh-CN"/>
              </w:rPr>
              <w:t>9100多名学生</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覆盖9162名学生左右</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发放金额</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val="en-US" w:eastAsia="zh-CN"/>
              </w:rPr>
              <w:t>按每月标准发放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4"/>
                <w:lang w:val="en-US" w:eastAsia="zh-CN"/>
              </w:rPr>
            </w:pPr>
            <w:r>
              <w:rPr>
                <w:rFonts w:hint="eastAsia" w:ascii="宋体" w:hAnsi="宋体" w:cs="宋体"/>
                <w:color w:val="000000"/>
                <w:sz w:val="24"/>
                <w:lang w:eastAsia="zh-CN"/>
              </w:rPr>
              <w:t>按每月标准准确发放</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发放无差错</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发放无差错</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发放无差错</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按时完成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按时完成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按时完成</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缓解物价上涨给学生的生活压力</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缓解物价上涨给学生的生活压力</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缓解物价上涨给学生的生活压力</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bl>
    <w:p>
      <w:pPr>
        <w:spacing w:line="580" w:lineRule="exact"/>
        <w:rPr>
          <w:rFonts w:ascii="仿宋_GB2312" w:hAnsi="仿宋_GB2312" w:eastAsia="仿宋_GB2312" w:cs="仿宋_GB2312"/>
          <w:sz w:val="32"/>
          <w:szCs w:val="32"/>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6"/>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w:t>
            </w:r>
            <w:r>
              <w:rPr>
                <w:rFonts w:hint="eastAsia" w:ascii="宋体" w:hAnsi="宋体" w:cs="宋体"/>
                <w:color w:val="000000"/>
                <w:kern w:val="0"/>
                <w:sz w:val="36"/>
                <w:szCs w:val="36"/>
                <w:lang w:val="en-US" w:eastAsia="zh-CN" w:bidi="ar"/>
              </w:rPr>
              <w:t>9</w:t>
            </w:r>
            <w:r>
              <w:rPr>
                <w:rFonts w:hint="eastAsia" w:ascii="宋体" w:hAnsi="宋体" w:cs="宋体"/>
                <w:color w:val="000000"/>
                <w:kern w:val="0"/>
                <w:sz w:val="36"/>
                <w:szCs w:val="36"/>
                <w:lang w:bidi="ar"/>
              </w:rPr>
              <w:t xml:space="preserve">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eastAsia="宋体" w:cs="宋体"/>
                <w:sz w:val="24"/>
                <w:szCs w:val="24"/>
              </w:rPr>
              <w:t>学生资助项目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乐山职业技术学院</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235万元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235万元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235万元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235万元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hint="default" w:ascii="宋体" w:hAnsi="宋体" w:eastAsia="宋体" w:cs="宋体"/>
                <w:color w:val="000000"/>
                <w:sz w:val="24"/>
                <w:lang w:val="en-US" w:eastAsia="zh-CN"/>
              </w:rPr>
            </w:pPr>
            <w:r>
              <w:rPr>
                <w:rFonts w:hint="eastAsia" w:ascii="宋体" w:hAnsi="宋体" w:cs="宋体"/>
                <w:sz w:val="24"/>
                <w:szCs w:val="24"/>
                <w:lang w:eastAsia="zh-CN"/>
              </w:rPr>
              <w:t>为</w:t>
            </w:r>
            <w:r>
              <w:rPr>
                <w:rFonts w:hint="eastAsia" w:ascii="宋体" w:hAnsi="宋体" w:eastAsia="宋体" w:cs="宋体"/>
                <w:sz w:val="24"/>
                <w:szCs w:val="24"/>
                <w:lang w:eastAsia="zh-CN"/>
              </w:rPr>
              <w:t>贫困学生</w:t>
            </w:r>
            <w:r>
              <w:rPr>
                <w:rFonts w:hint="eastAsia" w:ascii="宋体" w:hAnsi="宋体" w:cs="宋体"/>
                <w:sz w:val="24"/>
                <w:szCs w:val="24"/>
                <w:lang w:eastAsia="zh-CN"/>
              </w:rPr>
              <w:t>提供</w:t>
            </w:r>
            <w:r>
              <w:rPr>
                <w:rFonts w:hint="eastAsia" w:ascii="宋体" w:hAnsi="宋体" w:eastAsia="宋体" w:cs="宋体"/>
                <w:sz w:val="24"/>
                <w:szCs w:val="24"/>
                <w:lang w:eastAsia="zh-CN"/>
              </w:rPr>
              <w:t>学院奖助学金，</w:t>
            </w:r>
            <w:r>
              <w:rPr>
                <w:rFonts w:hint="eastAsia" w:ascii="宋体" w:hAnsi="宋体" w:cs="宋体"/>
                <w:sz w:val="24"/>
                <w:szCs w:val="24"/>
                <w:lang w:eastAsia="zh-CN"/>
              </w:rPr>
              <w:t>提供</w:t>
            </w:r>
            <w:r>
              <w:rPr>
                <w:rFonts w:hint="eastAsia" w:ascii="宋体" w:hAnsi="宋体" w:eastAsia="宋体" w:cs="宋体"/>
                <w:sz w:val="24"/>
                <w:szCs w:val="24"/>
                <w:lang w:eastAsia="zh-CN"/>
              </w:rPr>
              <w:t>勤工助学</w:t>
            </w:r>
            <w:r>
              <w:rPr>
                <w:rFonts w:hint="eastAsia" w:ascii="宋体" w:hAnsi="宋体" w:cs="宋体"/>
                <w:sz w:val="24"/>
                <w:szCs w:val="24"/>
                <w:lang w:eastAsia="zh-CN"/>
              </w:rPr>
              <w:t>岗位，</w:t>
            </w:r>
            <w:r>
              <w:rPr>
                <w:rFonts w:hint="eastAsia" w:ascii="宋体" w:hAnsi="宋体" w:cs="宋体"/>
                <w:color w:val="000000"/>
                <w:sz w:val="24"/>
                <w:lang w:eastAsia="zh-CN"/>
              </w:rPr>
              <w:t>确保其正常学习和生活。</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hint="default" w:ascii="宋体" w:hAnsi="宋体" w:eastAsia="宋体" w:cs="宋体"/>
                <w:color w:val="000000"/>
                <w:sz w:val="24"/>
                <w:lang w:val="en-US" w:eastAsia="zh-CN"/>
              </w:rPr>
            </w:pPr>
            <w:r>
              <w:rPr>
                <w:rFonts w:hint="eastAsia" w:ascii="宋体" w:hAnsi="宋体" w:cs="宋体"/>
                <w:sz w:val="24"/>
                <w:szCs w:val="24"/>
                <w:lang w:eastAsia="zh-CN"/>
              </w:rPr>
              <w:t>保障贫困学生及时领取学院奖助学金，勤工助学学生及时领取报酬，留学生获得生活补助，家庭经济贫困的学生及时获得临时生活困难补助。</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1275人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both"/>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学院奖学金136人，留学生生活补助143人，勤工助学897人，学院助学金91人，临时生活困难补助7人，减免学费1人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受助1275人</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及时通过学生个人银行卡发放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及时通过学生个人银行卡发放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及时通过学生个人银行卡发放</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资助资金及时发放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资金及时发放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资金及时发放</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ascii="宋体" w:hAnsi="宋体" w:eastAsia="宋体" w:cs="宋体"/>
                <w:sz w:val="24"/>
                <w:szCs w:val="24"/>
              </w:rPr>
              <w:t>学生资助</w:t>
            </w:r>
            <w:r>
              <w:rPr>
                <w:rFonts w:hint="eastAsia" w:ascii="宋体" w:hAnsi="宋体" w:cs="宋体"/>
                <w:sz w:val="24"/>
                <w:szCs w:val="24"/>
                <w:lang w:eastAsia="zh-CN"/>
              </w:rPr>
              <w:t>资金的发放，保障了学生生活所需，安心完成学业</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eastAsia="宋体" w:cs="宋体"/>
                <w:sz w:val="24"/>
                <w:szCs w:val="24"/>
              </w:rPr>
              <w:t>学生资助</w:t>
            </w:r>
            <w:r>
              <w:rPr>
                <w:rFonts w:hint="eastAsia" w:ascii="宋体" w:hAnsi="宋体" w:cs="宋体"/>
                <w:sz w:val="24"/>
                <w:szCs w:val="24"/>
                <w:lang w:eastAsia="zh-CN"/>
              </w:rPr>
              <w:t>资金的发放，保障了学生生活所需，安心完成学业</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eastAsia="宋体" w:cs="宋体"/>
                <w:sz w:val="24"/>
                <w:szCs w:val="24"/>
              </w:rPr>
              <w:t>学生资助</w:t>
            </w:r>
            <w:r>
              <w:rPr>
                <w:rFonts w:hint="eastAsia" w:ascii="宋体" w:hAnsi="宋体" w:cs="宋体"/>
                <w:sz w:val="24"/>
                <w:szCs w:val="24"/>
                <w:lang w:eastAsia="zh-CN"/>
              </w:rPr>
              <w:t>资金的发放，保障了学生生活所需，安心完成学业</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学生满意度、社会满意度达</w:t>
            </w:r>
            <w:r>
              <w:rPr>
                <w:rFonts w:hint="eastAsia" w:ascii="宋体" w:hAnsi="宋体" w:cs="宋体"/>
                <w:color w:val="000000"/>
                <w:sz w:val="24"/>
                <w:lang w:val="en-US" w:eastAsia="zh-CN"/>
              </w:rPr>
              <w:t>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学生满意度、社会满意度达</w:t>
            </w: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学生满意度、社会满意度达</w:t>
            </w:r>
            <w:r>
              <w:rPr>
                <w:rFonts w:hint="eastAsia" w:ascii="宋体" w:hAnsi="宋体" w:cs="宋体"/>
                <w:color w:val="000000"/>
                <w:sz w:val="24"/>
                <w:lang w:val="en-US" w:eastAsia="zh-CN"/>
              </w:rPr>
              <w:t>100%</w:t>
            </w:r>
          </w:p>
        </w:tc>
      </w:tr>
    </w:tbl>
    <w:p>
      <w:pPr>
        <w:spacing w:line="580" w:lineRule="exact"/>
        <w:rPr>
          <w:rFonts w:ascii="仿宋_GB2312" w:hAnsi="仿宋_GB2312" w:eastAsia="仿宋_GB2312" w:cs="仿宋_GB2312"/>
          <w:sz w:val="32"/>
          <w:szCs w:val="32"/>
        </w:rPr>
      </w:pPr>
    </w:p>
    <w:p>
      <w:pPr>
        <w:numPr>
          <w:ilvl w:val="0"/>
          <w:numId w:val="0"/>
        </w:numPr>
        <w:spacing w:line="580" w:lineRule="exact"/>
        <w:ind w:firstLine="321" w:firstLineChars="100"/>
        <w:rPr>
          <w:rFonts w:ascii="仿宋" w:hAnsi="仿宋" w:eastAsia="仿宋" w:cs="仿宋_GB2312"/>
          <w:sz w:val="32"/>
          <w:szCs w:val="32"/>
        </w:rPr>
      </w:pPr>
      <w:r>
        <w:rPr>
          <w:rFonts w:hint="eastAsia" w:ascii="仿宋" w:hAnsi="仿宋" w:eastAsia="仿宋" w:cs="楷体_GB2312"/>
          <w:b/>
          <w:bCs/>
          <w:sz w:val="32"/>
          <w:szCs w:val="32"/>
          <w:lang w:eastAsia="zh-CN"/>
        </w:rPr>
        <w:t>（三）</w:t>
      </w:r>
      <w:r>
        <w:rPr>
          <w:rFonts w:hint="eastAsia" w:ascii="仿宋" w:hAnsi="仿宋" w:eastAsia="仿宋" w:cs="楷体_GB2312"/>
          <w:b/>
          <w:bCs/>
          <w:sz w:val="32"/>
          <w:szCs w:val="32"/>
        </w:rPr>
        <w:t>部门开展绩效评价结果</w:t>
      </w:r>
    </w:p>
    <w:p>
      <w:pPr>
        <w:spacing w:line="580" w:lineRule="exact"/>
        <w:ind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本部门按要求对2019年部门整体支出绩效评价情况开展自评，《乐山职业技术学院部门2019年部门整体支出绩效评价报告》见附件。</w:t>
      </w:r>
    </w:p>
    <w:p>
      <w:pPr>
        <w:spacing w:line="600" w:lineRule="exact"/>
        <w:ind w:firstLine="800" w:firstLineChars="250"/>
        <w:outlineLvl w:val="1"/>
        <w:rPr>
          <w:rStyle w:val="28"/>
          <w:rFonts w:ascii="黑体" w:hAnsi="黑体" w:eastAsia="黑体"/>
        </w:rPr>
      </w:pPr>
      <w:bookmarkStart w:id="54" w:name="_Toc15377221"/>
      <w:bookmarkStart w:id="55" w:name="_Toc15396612"/>
      <w:r>
        <w:rPr>
          <w:rFonts w:hint="eastAsia" w:ascii="黑体" w:hAnsi="黑体" w:eastAsia="黑体"/>
          <w:color w:val="000000"/>
          <w:sz w:val="32"/>
          <w:szCs w:val="32"/>
        </w:rPr>
        <w:t>十</w:t>
      </w:r>
      <w:r>
        <w:rPr>
          <w:rStyle w:val="28"/>
          <w:rFonts w:hint="eastAsia" w:ascii="黑体" w:hAnsi="黑体" w:eastAsia="黑体"/>
        </w:rPr>
        <w:t>一、</w:t>
      </w:r>
      <w:r>
        <w:rPr>
          <w:rStyle w:val="28"/>
          <w:rFonts w:hint="eastAsia" w:ascii="黑体" w:hAnsi="黑体" w:eastAsia="黑体"/>
          <w:b w:val="0"/>
        </w:rPr>
        <w:t>其他重要事项的情况说明</w:t>
      </w:r>
      <w:bookmarkEnd w:id="54"/>
      <w:bookmarkEnd w:id="55"/>
    </w:p>
    <w:p>
      <w:pPr>
        <w:spacing w:line="600" w:lineRule="exact"/>
        <w:ind w:firstLine="643" w:firstLineChars="200"/>
        <w:outlineLvl w:val="2"/>
        <w:rPr>
          <w:rFonts w:ascii="仿宋" w:hAnsi="仿宋" w:eastAsia="仿宋"/>
          <w:color w:val="000000"/>
          <w:sz w:val="32"/>
          <w:szCs w:val="32"/>
        </w:rPr>
      </w:pPr>
      <w:bookmarkStart w:id="56" w:name="_Toc15377222"/>
      <w:r>
        <w:rPr>
          <w:rFonts w:hint="eastAsia" w:ascii="仿宋" w:hAnsi="仿宋" w:eastAsia="仿宋"/>
          <w:b/>
          <w:color w:val="000000"/>
          <w:sz w:val="32"/>
          <w:szCs w:val="32"/>
        </w:rPr>
        <w:t>（一）机关运行经费支出情况</w:t>
      </w:r>
      <w:bookmarkEnd w:id="56"/>
    </w:p>
    <w:p>
      <w:pPr>
        <w:spacing w:line="600" w:lineRule="exact"/>
        <w:ind w:firstLine="64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2019年，乐山职业技术学院机关运行经费支出466.41万元，比2018年增加7.66万元，增长1.66%。主要原因是</w:t>
      </w:r>
      <w:r>
        <w:rPr>
          <w:rFonts w:hint="eastAsia" w:ascii="仿宋" w:hAnsi="仿宋" w:eastAsia="仿宋"/>
          <w:color w:val="000000"/>
          <w:sz w:val="32"/>
          <w:szCs w:val="32"/>
          <w:lang w:val="en-US" w:eastAsia="zh-CN"/>
        </w:rPr>
        <w:t>2019年决算公开数据新增了乐山市奥林匹克学校。</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7" w:name="_Toc15377223"/>
      <w:r>
        <w:rPr>
          <w:rFonts w:hint="eastAsia" w:ascii="仿宋" w:hAnsi="仿宋" w:eastAsia="仿宋"/>
          <w:b/>
          <w:color w:val="000000"/>
          <w:sz w:val="32"/>
          <w:szCs w:val="32"/>
        </w:rPr>
        <w:t>（二）政府采购支出情况</w:t>
      </w:r>
      <w:bookmarkEnd w:id="57"/>
    </w:p>
    <w:p>
      <w:pPr>
        <w:spacing w:line="600" w:lineRule="exact"/>
        <w:ind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2019年，乐山职业技术学院政府采购支出总额1348.84万元，其中：政府采购货物支出967.15万元、政府采购工程支出340.87万元、政府采购服务支出40.82万元。主要用于实训室改造、购买各类教学设施设备、教学用实训耗材、新校区物业管理。授予中小企业合同金额901.01万元，占政府采购支出总额的66.80%，其中：授予小微企业合同金额769.01万元，占政府采购支出总额的85.35%。</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8" w:name="_Toc15377224"/>
      <w:r>
        <w:rPr>
          <w:rFonts w:hint="eastAsia" w:ascii="仿宋" w:hAnsi="仿宋" w:eastAsia="仿宋"/>
          <w:b/>
          <w:color w:val="000000"/>
          <w:sz w:val="32"/>
          <w:szCs w:val="32"/>
        </w:rPr>
        <w:t>（三）国有资产占有使用情况</w:t>
      </w:r>
      <w:bookmarkEnd w:id="58"/>
    </w:p>
    <w:p>
      <w:pPr>
        <w:autoSpaceDE w:val="0"/>
        <w:autoSpaceDN w:val="0"/>
        <w:adjustRightInd w:val="0"/>
        <w:spacing w:line="600" w:lineRule="exact"/>
        <w:ind w:firstLine="640" w:firstLineChars="200"/>
        <w:jc w:val="both"/>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截至2019年12月31日，乐山职业技术学院共有车辆13辆，其中：部级领导干部用车0辆、一般公务用车6辆、一般执法执勤用车0辆、特种专业技术用车0辆、其他用车7辆，其他用车主要是用于院校间交流、教学、招生、继续教育和社会服务。单价50万元以上通用设备7台（套），单价100万元以上专用设备7台（套）。</w:t>
      </w:r>
    </w:p>
    <w:p>
      <w:pPr>
        <w:spacing w:line="600" w:lineRule="atLeast"/>
        <w:ind w:firstLine="643" w:firstLineChars="200"/>
        <w:rPr>
          <w:rFonts w:ascii="仿宋_GB2312" w:eastAsia="仿宋_GB2312"/>
          <w:b/>
          <w:color w:val="000000"/>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6"/>
        </w:numPr>
        <w:spacing w:line="600" w:lineRule="exact"/>
        <w:ind w:firstLine="663" w:firstLineChars="150"/>
        <w:jc w:val="center"/>
        <w:outlineLvl w:val="0"/>
        <w:rPr>
          <w:rStyle w:val="27"/>
          <w:rFonts w:ascii="黑体" w:hAnsi="黑体" w:eastAsia="黑体"/>
          <w:b w:val="0"/>
        </w:rPr>
      </w:pPr>
      <w:bookmarkStart w:id="59" w:name="_Toc15396613"/>
      <w:bookmarkStart w:id="60" w:name="_Toc15377225"/>
      <w:r>
        <w:rPr>
          <w:rFonts w:hint="eastAsia" w:ascii="黑体" w:hAnsi="黑体" w:eastAsia="黑体"/>
          <w:b/>
          <w:color w:val="000000"/>
          <w:sz w:val="44"/>
          <w:szCs w:val="44"/>
        </w:rPr>
        <w:t>名</w:t>
      </w:r>
      <w:r>
        <w:rPr>
          <w:rStyle w:val="27"/>
          <w:rFonts w:hint="eastAsia" w:ascii="黑体" w:hAnsi="黑体" w:eastAsia="黑体"/>
          <w:b w:val="0"/>
        </w:rPr>
        <w:t>词解释</w:t>
      </w:r>
      <w:bookmarkEnd w:id="59"/>
      <w:bookmarkEnd w:id="60"/>
    </w:p>
    <w:p>
      <w:pPr>
        <w:spacing w:line="600" w:lineRule="exact"/>
        <w:jc w:val="left"/>
        <w:rPr>
          <w:rFonts w:ascii="宋体"/>
          <w:b/>
          <w:color w:val="000000"/>
          <w:sz w:val="44"/>
          <w:szCs w:val="44"/>
        </w:rPr>
      </w:pPr>
    </w:p>
    <w:p>
      <w:pPr>
        <w:pStyle w:val="25"/>
        <w:spacing w:line="560" w:lineRule="exact"/>
        <w:ind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1.财政拨款收入：指单位从同级财政部门取得的财政预算资金。</w:t>
      </w:r>
    </w:p>
    <w:p>
      <w:pPr>
        <w:pStyle w:val="25"/>
        <w:spacing w:line="560" w:lineRule="exact"/>
        <w:ind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2.事业收入：指事业单位开展专业业务活动及辅助活动取得的收入。</w:t>
      </w:r>
    </w:p>
    <w:p>
      <w:pPr>
        <w:pStyle w:val="25"/>
        <w:spacing w:line="560" w:lineRule="exact"/>
        <w:ind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3.其他收入：指单位取得的除上述收入以外的各项收入。</w:t>
      </w:r>
    </w:p>
    <w:p>
      <w:pPr>
        <w:pStyle w:val="25"/>
        <w:spacing w:line="560" w:lineRule="exact"/>
        <w:ind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 xml:space="preserve">4.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5"/>
        <w:spacing w:line="560" w:lineRule="exact"/>
        <w:ind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 xml:space="preserve">5.年初结转和结余：指以前年度尚未完成、结转到本年按有关规定继续使用的资金。 </w:t>
      </w:r>
    </w:p>
    <w:p>
      <w:pPr>
        <w:pStyle w:val="25"/>
        <w:spacing w:line="560" w:lineRule="exact"/>
        <w:ind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6.结余分配：指事业单位按照事业单位会计制度的规定从非财政补助结余中分配的事业基金和职工福利基金等。</w:t>
      </w:r>
    </w:p>
    <w:p>
      <w:pPr>
        <w:pStyle w:val="25"/>
        <w:spacing w:line="560" w:lineRule="exact"/>
        <w:ind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7、年末结转和结余：指单位按有关规定结转到下年或以后年度继续使用的资金。</w:t>
      </w:r>
    </w:p>
    <w:p>
      <w:pPr>
        <w:pStyle w:val="25"/>
        <w:spacing w:line="560" w:lineRule="exact"/>
        <w:ind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8.一般公共服务（类）群众团体事务（款）其他群众团体事务支出（项）：反映除上述项目以外其他用于群众团体事务方面的支出。</w:t>
      </w:r>
    </w:p>
    <w:p>
      <w:pPr>
        <w:pStyle w:val="25"/>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9</w:t>
      </w:r>
      <w:r>
        <w:rPr>
          <w:rFonts w:hint="default" w:ascii="仿宋" w:hAnsi="仿宋" w:eastAsia="仿宋" w:cs="Times New Roman"/>
          <w:color w:val="000000"/>
          <w:kern w:val="2"/>
          <w:sz w:val="32"/>
          <w:szCs w:val="32"/>
          <w:lang w:val="en-US" w:eastAsia="zh-CN" w:bidi="ar-SA"/>
        </w:rPr>
        <w:t>.教育（类）普通教育（款）</w:t>
      </w:r>
      <w:r>
        <w:rPr>
          <w:rFonts w:hint="eastAsia" w:ascii="仿宋" w:hAnsi="仿宋" w:eastAsia="仿宋" w:cs="Times New Roman"/>
          <w:color w:val="000000"/>
          <w:kern w:val="2"/>
          <w:sz w:val="32"/>
          <w:szCs w:val="32"/>
          <w:lang w:val="en-US" w:eastAsia="zh-CN" w:bidi="ar-SA"/>
        </w:rPr>
        <w:t>初中</w:t>
      </w:r>
      <w:r>
        <w:rPr>
          <w:rFonts w:hint="default" w:ascii="仿宋" w:hAnsi="仿宋" w:eastAsia="仿宋" w:cs="Times New Roman"/>
          <w:color w:val="000000"/>
          <w:kern w:val="2"/>
          <w:sz w:val="32"/>
          <w:szCs w:val="32"/>
          <w:lang w:val="en-US" w:eastAsia="zh-CN" w:bidi="ar-SA"/>
        </w:rPr>
        <w:t>教育（项）：指反映经</w:t>
      </w:r>
      <w:r>
        <w:rPr>
          <w:rFonts w:hint="eastAsia" w:ascii="仿宋" w:hAnsi="仿宋" w:eastAsia="仿宋" w:cs="Times New Roman"/>
          <w:color w:val="000000"/>
          <w:kern w:val="2"/>
          <w:sz w:val="32"/>
          <w:szCs w:val="32"/>
          <w:lang w:val="en-US" w:eastAsia="zh-CN" w:bidi="ar-SA"/>
        </w:rPr>
        <w:t>各部门举办的初中教育支出</w:t>
      </w:r>
      <w:r>
        <w:rPr>
          <w:rFonts w:hint="default" w:ascii="仿宋" w:hAnsi="仿宋" w:eastAsia="仿宋" w:cs="Times New Roman"/>
          <w:color w:val="000000"/>
          <w:kern w:val="2"/>
          <w:sz w:val="32"/>
          <w:szCs w:val="32"/>
          <w:lang w:val="en-US" w:eastAsia="zh-CN" w:bidi="ar-SA"/>
        </w:rPr>
        <w:t>。政府各部门对社会中介组织等举办的</w:t>
      </w:r>
      <w:r>
        <w:rPr>
          <w:rFonts w:hint="eastAsia" w:ascii="仿宋" w:hAnsi="仿宋" w:eastAsia="仿宋" w:cs="Times New Roman"/>
          <w:color w:val="000000"/>
          <w:kern w:val="2"/>
          <w:sz w:val="32"/>
          <w:szCs w:val="32"/>
          <w:lang w:val="en-US" w:eastAsia="zh-CN" w:bidi="ar-SA"/>
        </w:rPr>
        <w:t>初中教育</w:t>
      </w:r>
      <w:r>
        <w:rPr>
          <w:rFonts w:hint="default" w:ascii="仿宋" w:hAnsi="仿宋" w:eastAsia="仿宋" w:cs="Times New Roman"/>
          <w:color w:val="000000"/>
          <w:kern w:val="2"/>
          <w:sz w:val="32"/>
          <w:szCs w:val="32"/>
          <w:lang w:val="en-US" w:eastAsia="zh-CN" w:bidi="ar-SA"/>
        </w:rPr>
        <w:t>的资助，如捐赠、补贴等，也在本科目中反映。</w:t>
      </w:r>
    </w:p>
    <w:p>
      <w:pPr>
        <w:pStyle w:val="25"/>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10</w:t>
      </w:r>
      <w:r>
        <w:rPr>
          <w:rFonts w:hint="default" w:ascii="仿宋" w:hAnsi="仿宋" w:eastAsia="仿宋" w:cs="Times New Roman"/>
          <w:color w:val="000000"/>
          <w:kern w:val="2"/>
          <w:sz w:val="32"/>
          <w:szCs w:val="32"/>
          <w:lang w:val="en-US" w:eastAsia="zh-CN" w:bidi="ar-SA"/>
        </w:rPr>
        <w:t>.教育（类）普通教育（款）高等教育（项）：指反映经国家批准设立的中央和省、自治区、直辖市各部门所属的全日制普通高等院校（包括研究生）的支出。政府各部门对社会中介组织等举办的各类高等院校的资助，如捐赠、补贴等，也在本科目中反映。</w:t>
      </w:r>
    </w:p>
    <w:p>
      <w:pPr>
        <w:pStyle w:val="25"/>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11</w:t>
      </w:r>
      <w:r>
        <w:rPr>
          <w:rFonts w:hint="default" w:ascii="仿宋" w:hAnsi="仿宋" w:eastAsia="仿宋" w:cs="Times New Roman"/>
          <w:color w:val="000000"/>
          <w:kern w:val="2"/>
          <w:sz w:val="32"/>
          <w:szCs w:val="32"/>
          <w:lang w:val="en-US" w:eastAsia="zh-CN" w:bidi="ar-SA"/>
        </w:rPr>
        <w:t>.教育（类）普通教育（款）</w:t>
      </w:r>
      <w:r>
        <w:rPr>
          <w:rFonts w:hint="eastAsia" w:ascii="仿宋" w:hAnsi="仿宋" w:eastAsia="仿宋" w:cs="Times New Roman"/>
          <w:color w:val="000000"/>
          <w:kern w:val="2"/>
          <w:sz w:val="32"/>
          <w:szCs w:val="32"/>
          <w:lang w:val="en-US" w:eastAsia="zh-CN" w:bidi="ar-SA"/>
        </w:rPr>
        <w:t>其他普通教育支出</w:t>
      </w:r>
      <w:r>
        <w:rPr>
          <w:rFonts w:hint="default" w:ascii="仿宋" w:hAnsi="仿宋" w:eastAsia="仿宋" w:cs="Times New Roman"/>
          <w:color w:val="000000"/>
          <w:kern w:val="2"/>
          <w:sz w:val="32"/>
          <w:szCs w:val="32"/>
          <w:lang w:val="en-US" w:eastAsia="zh-CN" w:bidi="ar-SA"/>
        </w:rPr>
        <w:t>（项）：指反映</w:t>
      </w:r>
      <w:r>
        <w:rPr>
          <w:rFonts w:hint="eastAsia" w:ascii="仿宋" w:hAnsi="仿宋" w:eastAsia="仿宋" w:cs="Times New Roman"/>
          <w:color w:val="000000"/>
          <w:kern w:val="2"/>
          <w:sz w:val="32"/>
          <w:szCs w:val="32"/>
          <w:lang w:val="en-US" w:eastAsia="zh-CN" w:bidi="ar-SA"/>
        </w:rPr>
        <w:t>除上述项目以外其他用于普通教育方面的支出</w:t>
      </w:r>
      <w:r>
        <w:rPr>
          <w:rFonts w:hint="default" w:ascii="仿宋" w:hAnsi="仿宋" w:eastAsia="仿宋" w:cs="Times New Roman"/>
          <w:color w:val="000000"/>
          <w:kern w:val="2"/>
          <w:sz w:val="32"/>
          <w:szCs w:val="32"/>
          <w:lang w:val="en-US" w:eastAsia="zh-CN" w:bidi="ar-SA"/>
        </w:rPr>
        <w:t>。</w:t>
      </w:r>
    </w:p>
    <w:p>
      <w:pPr>
        <w:pStyle w:val="25"/>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12</w:t>
      </w:r>
      <w:r>
        <w:rPr>
          <w:rFonts w:hint="default" w:ascii="仿宋" w:hAnsi="仿宋" w:eastAsia="仿宋" w:cs="Times New Roman"/>
          <w:color w:val="000000"/>
          <w:kern w:val="2"/>
          <w:sz w:val="32"/>
          <w:szCs w:val="32"/>
          <w:lang w:val="en-US" w:eastAsia="zh-CN" w:bidi="ar-SA"/>
        </w:rPr>
        <w:t>.教育（类）职业教育（款）中专教育（项）：指反映各部门举办的各类中等专业学校的支出。</w:t>
      </w:r>
    </w:p>
    <w:p>
      <w:pPr>
        <w:pStyle w:val="25"/>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13</w:t>
      </w:r>
      <w:r>
        <w:rPr>
          <w:rFonts w:hint="default" w:ascii="仿宋" w:hAnsi="仿宋" w:eastAsia="仿宋" w:cs="Times New Roman"/>
          <w:color w:val="000000"/>
          <w:kern w:val="2"/>
          <w:sz w:val="32"/>
          <w:szCs w:val="32"/>
          <w:lang w:val="en-US" w:eastAsia="zh-CN" w:bidi="ar-SA"/>
        </w:rPr>
        <w:t>.教育（类）职业教育（款）高等职业教育（项）：指反映经国家批准设立的高等职业大学、专科职业教育等方面的支出。</w:t>
      </w:r>
    </w:p>
    <w:p>
      <w:pPr>
        <w:pStyle w:val="25"/>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14</w:t>
      </w:r>
      <w:r>
        <w:rPr>
          <w:rFonts w:hint="default" w:ascii="仿宋" w:hAnsi="仿宋" w:eastAsia="仿宋" w:cs="Times New Roman"/>
          <w:color w:val="000000"/>
          <w:kern w:val="2"/>
          <w:sz w:val="32"/>
          <w:szCs w:val="32"/>
          <w:lang w:val="en-US" w:eastAsia="zh-CN" w:bidi="ar-SA"/>
        </w:rPr>
        <w:t>.教育（类）</w:t>
      </w:r>
      <w:r>
        <w:rPr>
          <w:rFonts w:hint="eastAsia" w:ascii="仿宋" w:hAnsi="仿宋" w:eastAsia="仿宋" w:cs="Times New Roman"/>
          <w:color w:val="000000"/>
          <w:kern w:val="2"/>
          <w:sz w:val="32"/>
          <w:szCs w:val="32"/>
          <w:lang w:val="en-US" w:eastAsia="zh-CN" w:bidi="ar-SA"/>
        </w:rPr>
        <w:t>进修及培训</w:t>
      </w:r>
      <w:r>
        <w:rPr>
          <w:rFonts w:hint="default" w:ascii="仿宋" w:hAnsi="仿宋" w:eastAsia="仿宋" w:cs="Times New Roman"/>
          <w:color w:val="000000"/>
          <w:kern w:val="2"/>
          <w:sz w:val="32"/>
          <w:szCs w:val="32"/>
          <w:lang w:val="en-US" w:eastAsia="zh-CN" w:bidi="ar-SA"/>
        </w:rPr>
        <w:t>（款）</w:t>
      </w:r>
      <w:r>
        <w:rPr>
          <w:rFonts w:hint="eastAsia" w:ascii="仿宋" w:hAnsi="仿宋" w:eastAsia="仿宋" w:cs="Times New Roman"/>
          <w:color w:val="000000"/>
          <w:kern w:val="2"/>
          <w:sz w:val="32"/>
          <w:szCs w:val="32"/>
          <w:lang w:val="en-US" w:eastAsia="zh-CN" w:bidi="ar-SA"/>
        </w:rPr>
        <w:t>教师进修</w:t>
      </w:r>
      <w:r>
        <w:rPr>
          <w:rFonts w:hint="default" w:ascii="仿宋" w:hAnsi="仿宋" w:eastAsia="仿宋" w:cs="Times New Roman"/>
          <w:color w:val="000000"/>
          <w:kern w:val="2"/>
          <w:sz w:val="32"/>
          <w:szCs w:val="32"/>
          <w:lang w:val="en-US" w:eastAsia="zh-CN" w:bidi="ar-SA"/>
        </w:rPr>
        <w:t>（项）：指反映</w:t>
      </w:r>
      <w:r>
        <w:rPr>
          <w:rFonts w:hint="eastAsia" w:ascii="仿宋" w:hAnsi="仿宋" w:eastAsia="仿宋" w:cs="Times New Roman"/>
          <w:color w:val="000000"/>
          <w:kern w:val="2"/>
          <w:sz w:val="32"/>
          <w:szCs w:val="32"/>
          <w:lang w:val="en-US" w:eastAsia="zh-CN" w:bidi="ar-SA"/>
        </w:rPr>
        <w:t>教师进修、师资培训</w:t>
      </w:r>
      <w:r>
        <w:rPr>
          <w:rFonts w:hint="default" w:ascii="仿宋" w:hAnsi="仿宋" w:eastAsia="仿宋" w:cs="Times New Roman"/>
          <w:color w:val="000000"/>
          <w:kern w:val="2"/>
          <w:sz w:val="32"/>
          <w:szCs w:val="32"/>
          <w:lang w:val="en-US" w:eastAsia="zh-CN" w:bidi="ar-SA"/>
        </w:rPr>
        <w:t>的支出。</w:t>
      </w:r>
    </w:p>
    <w:p>
      <w:pPr>
        <w:pStyle w:val="25"/>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15</w:t>
      </w:r>
      <w:r>
        <w:rPr>
          <w:rFonts w:hint="default" w:ascii="仿宋" w:hAnsi="仿宋" w:eastAsia="仿宋" w:cs="Times New Roman"/>
          <w:color w:val="000000"/>
          <w:kern w:val="2"/>
          <w:sz w:val="32"/>
          <w:szCs w:val="32"/>
          <w:lang w:val="en-US" w:eastAsia="zh-CN" w:bidi="ar-SA"/>
        </w:rPr>
        <w:t>.教育（类）</w:t>
      </w:r>
      <w:r>
        <w:rPr>
          <w:rFonts w:hint="eastAsia" w:ascii="仿宋" w:hAnsi="仿宋" w:eastAsia="仿宋" w:cs="Times New Roman"/>
          <w:color w:val="000000"/>
          <w:kern w:val="2"/>
          <w:sz w:val="32"/>
          <w:szCs w:val="32"/>
          <w:lang w:val="en-US" w:eastAsia="zh-CN" w:bidi="ar-SA"/>
        </w:rPr>
        <w:t>教育费附加安排的支出</w:t>
      </w:r>
      <w:r>
        <w:rPr>
          <w:rFonts w:hint="default" w:ascii="仿宋" w:hAnsi="仿宋" w:eastAsia="仿宋" w:cs="Times New Roman"/>
          <w:color w:val="000000"/>
          <w:kern w:val="2"/>
          <w:sz w:val="32"/>
          <w:szCs w:val="32"/>
          <w:lang w:val="en-US" w:eastAsia="zh-CN" w:bidi="ar-SA"/>
        </w:rPr>
        <w:t>（款）</w:t>
      </w:r>
      <w:r>
        <w:rPr>
          <w:rFonts w:hint="eastAsia" w:ascii="仿宋" w:hAnsi="仿宋" w:eastAsia="仿宋" w:cs="Times New Roman"/>
          <w:color w:val="000000"/>
          <w:kern w:val="2"/>
          <w:sz w:val="32"/>
          <w:szCs w:val="32"/>
          <w:lang w:val="en-US" w:eastAsia="zh-CN" w:bidi="ar-SA"/>
        </w:rPr>
        <w:t>其他教育费附加安排的支出</w:t>
      </w:r>
      <w:r>
        <w:rPr>
          <w:rFonts w:hint="default" w:ascii="仿宋" w:hAnsi="仿宋" w:eastAsia="仿宋" w:cs="Times New Roman"/>
          <w:color w:val="000000"/>
          <w:kern w:val="2"/>
          <w:sz w:val="32"/>
          <w:szCs w:val="32"/>
          <w:lang w:val="en-US" w:eastAsia="zh-CN" w:bidi="ar-SA"/>
        </w:rPr>
        <w:t>（项）：指反映</w:t>
      </w:r>
      <w:r>
        <w:rPr>
          <w:rFonts w:hint="eastAsia" w:ascii="仿宋" w:hAnsi="仿宋" w:eastAsia="仿宋" w:cs="Times New Roman"/>
          <w:color w:val="000000"/>
          <w:kern w:val="2"/>
          <w:sz w:val="32"/>
          <w:szCs w:val="32"/>
          <w:lang w:val="en-US" w:eastAsia="zh-CN" w:bidi="ar-SA"/>
        </w:rPr>
        <w:t>上述项目以外的教育费附加支出</w:t>
      </w:r>
      <w:r>
        <w:rPr>
          <w:rFonts w:hint="default" w:ascii="仿宋" w:hAnsi="仿宋" w:eastAsia="仿宋" w:cs="Times New Roman"/>
          <w:color w:val="000000"/>
          <w:kern w:val="2"/>
          <w:sz w:val="32"/>
          <w:szCs w:val="32"/>
          <w:lang w:val="en-US" w:eastAsia="zh-CN" w:bidi="ar-SA"/>
        </w:rPr>
        <w:t>。</w:t>
      </w:r>
    </w:p>
    <w:p>
      <w:pPr>
        <w:pStyle w:val="25"/>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16</w:t>
      </w:r>
      <w:r>
        <w:rPr>
          <w:rFonts w:hint="default" w:ascii="仿宋" w:hAnsi="仿宋" w:eastAsia="仿宋" w:cs="Times New Roman"/>
          <w:color w:val="000000"/>
          <w:kern w:val="2"/>
          <w:sz w:val="32"/>
          <w:szCs w:val="32"/>
          <w:lang w:val="en-US" w:eastAsia="zh-CN" w:bidi="ar-SA"/>
        </w:rPr>
        <w:t>.科学技术（类）</w:t>
      </w:r>
      <w:r>
        <w:rPr>
          <w:rFonts w:hint="eastAsia" w:ascii="仿宋" w:hAnsi="仿宋" w:eastAsia="仿宋" w:cs="Times New Roman"/>
          <w:color w:val="000000"/>
          <w:kern w:val="2"/>
          <w:sz w:val="32"/>
          <w:szCs w:val="32"/>
          <w:lang w:val="en-US" w:eastAsia="zh-CN" w:bidi="ar-SA"/>
        </w:rPr>
        <w:t>基础研究</w:t>
      </w:r>
      <w:r>
        <w:rPr>
          <w:rFonts w:hint="default" w:ascii="仿宋" w:hAnsi="仿宋" w:eastAsia="仿宋" w:cs="Times New Roman"/>
          <w:color w:val="000000"/>
          <w:kern w:val="2"/>
          <w:sz w:val="32"/>
          <w:szCs w:val="32"/>
          <w:lang w:val="en-US" w:eastAsia="zh-CN" w:bidi="ar-SA"/>
        </w:rPr>
        <w:t>（款）</w:t>
      </w:r>
      <w:r>
        <w:rPr>
          <w:rFonts w:hint="eastAsia" w:ascii="仿宋" w:hAnsi="仿宋" w:eastAsia="仿宋" w:cs="Times New Roman"/>
          <w:color w:val="000000"/>
          <w:kern w:val="2"/>
          <w:sz w:val="32"/>
          <w:szCs w:val="32"/>
          <w:lang w:val="en-US" w:eastAsia="zh-CN" w:bidi="ar-SA"/>
        </w:rPr>
        <w:t>专项基础科研</w:t>
      </w:r>
      <w:r>
        <w:rPr>
          <w:rFonts w:hint="default" w:ascii="仿宋" w:hAnsi="仿宋" w:eastAsia="仿宋" w:cs="Times New Roman"/>
          <w:color w:val="000000"/>
          <w:kern w:val="2"/>
          <w:sz w:val="32"/>
          <w:szCs w:val="32"/>
          <w:lang w:val="en-US" w:eastAsia="zh-CN" w:bidi="ar-SA"/>
        </w:rPr>
        <w:t>（项）：指反映</w:t>
      </w:r>
      <w:r>
        <w:rPr>
          <w:rFonts w:hint="eastAsia" w:ascii="仿宋" w:hAnsi="仿宋" w:eastAsia="仿宋" w:cs="Times New Roman"/>
          <w:color w:val="000000"/>
          <w:kern w:val="2"/>
          <w:sz w:val="32"/>
          <w:szCs w:val="32"/>
          <w:lang w:val="en-US" w:eastAsia="zh-CN" w:bidi="ar-SA"/>
        </w:rPr>
        <w:t>用于专项基础科研</w:t>
      </w:r>
      <w:r>
        <w:rPr>
          <w:rFonts w:hint="default" w:ascii="仿宋" w:hAnsi="仿宋" w:eastAsia="仿宋" w:cs="Times New Roman"/>
          <w:color w:val="000000"/>
          <w:kern w:val="2"/>
          <w:sz w:val="32"/>
          <w:szCs w:val="32"/>
          <w:lang w:val="en-US" w:eastAsia="zh-CN" w:bidi="ar-SA"/>
        </w:rPr>
        <w:t>支出。</w:t>
      </w:r>
    </w:p>
    <w:p>
      <w:pPr>
        <w:pStyle w:val="25"/>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17</w:t>
      </w:r>
      <w:r>
        <w:rPr>
          <w:rFonts w:hint="default" w:ascii="仿宋" w:hAnsi="仿宋" w:eastAsia="仿宋" w:cs="Times New Roman"/>
          <w:color w:val="000000"/>
          <w:kern w:val="2"/>
          <w:sz w:val="32"/>
          <w:szCs w:val="32"/>
          <w:lang w:val="en-US" w:eastAsia="zh-CN" w:bidi="ar-SA"/>
        </w:rPr>
        <w:t>.科学技术（类）技术研究与开发（款）应用技术研究与开发（项）：指反映从事技术开发研究和近期可望取得实用价值的专项技术开发研究和支出。</w:t>
      </w:r>
    </w:p>
    <w:p>
      <w:pPr>
        <w:pStyle w:val="25"/>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18</w:t>
      </w:r>
      <w:r>
        <w:rPr>
          <w:rFonts w:hint="default" w:ascii="仿宋" w:hAnsi="仿宋" w:eastAsia="仿宋" w:cs="Times New Roman"/>
          <w:color w:val="000000"/>
          <w:kern w:val="2"/>
          <w:sz w:val="32"/>
          <w:szCs w:val="32"/>
          <w:lang w:val="en-US" w:eastAsia="zh-CN" w:bidi="ar-SA"/>
        </w:rPr>
        <w:t>.科学技术（类）技术研究与开发（款）</w:t>
      </w:r>
      <w:r>
        <w:rPr>
          <w:rFonts w:hint="eastAsia" w:ascii="仿宋" w:hAnsi="仿宋" w:eastAsia="仿宋" w:cs="Times New Roman"/>
          <w:color w:val="000000"/>
          <w:kern w:val="2"/>
          <w:sz w:val="32"/>
          <w:szCs w:val="32"/>
          <w:lang w:val="en-US" w:eastAsia="zh-CN" w:bidi="ar-SA"/>
        </w:rPr>
        <w:t>科技成果转化与扩散</w:t>
      </w:r>
      <w:r>
        <w:rPr>
          <w:rFonts w:hint="default" w:ascii="仿宋" w:hAnsi="仿宋" w:eastAsia="仿宋" w:cs="Times New Roman"/>
          <w:color w:val="000000"/>
          <w:kern w:val="2"/>
          <w:sz w:val="32"/>
          <w:szCs w:val="32"/>
          <w:lang w:val="en-US" w:eastAsia="zh-CN" w:bidi="ar-SA"/>
        </w:rPr>
        <w:t>（项）：指反映</w:t>
      </w:r>
      <w:r>
        <w:rPr>
          <w:rFonts w:hint="eastAsia" w:ascii="仿宋" w:hAnsi="仿宋" w:eastAsia="仿宋" w:cs="Times New Roman"/>
          <w:color w:val="000000"/>
          <w:kern w:val="2"/>
          <w:sz w:val="32"/>
          <w:szCs w:val="32"/>
          <w:lang w:val="en-US" w:eastAsia="zh-CN" w:bidi="ar-SA"/>
        </w:rPr>
        <w:t>促进科技成果转化为现实生产力的应用、推广和引导性支出，以及基本建设支出中用于支持企业科技自主创新的支出</w:t>
      </w:r>
      <w:r>
        <w:rPr>
          <w:rFonts w:hint="default" w:ascii="仿宋" w:hAnsi="仿宋" w:eastAsia="仿宋" w:cs="Times New Roman"/>
          <w:color w:val="000000"/>
          <w:kern w:val="2"/>
          <w:sz w:val="32"/>
          <w:szCs w:val="32"/>
          <w:lang w:val="en-US" w:eastAsia="zh-CN" w:bidi="ar-SA"/>
        </w:rPr>
        <w:t>。</w:t>
      </w:r>
    </w:p>
    <w:p>
      <w:pPr>
        <w:pStyle w:val="25"/>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19</w:t>
      </w:r>
      <w:r>
        <w:rPr>
          <w:rFonts w:hint="default" w:ascii="仿宋" w:hAnsi="仿宋" w:eastAsia="仿宋" w:cs="Times New Roman"/>
          <w:color w:val="000000"/>
          <w:kern w:val="2"/>
          <w:sz w:val="32"/>
          <w:szCs w:val="32"/>
          <w:lang w:val="en-US" w:eastAsia="zh-CN" w:bidi="ar-SA"/>
        </w:rPr>
        <w:t>.科学技术（类）</w:t>
      </w:r>
      <w:r>
        <w:rPr>
          <w:rFonts w:hint="eastAsia" w:ascii="仿宋" w:hAnsi="仿宋" w:eastAsia="仿宋" w:cs="Times New Roman"/>
          <w:color w:val="000000"/>
          <w:kern w:val="2"/>
          <w:sz w:val="32"/>
          <w:szCs w:val="32"/>
          <w:lang w:val="en-US" w:eastAsia="zh-CN" w:bidi="ar-SA"/>
        </w:rPr>
        <w:t>社会科学</w:t>
      </w:r>
      <w:r>
        <w:rPr>
          <w:rFonts w:hint="default" w:ascii="仿宋" w:hAnsi="仿宋" w:eastAsia="仿宋" w:cs="Times New Roman"/>
          <w:color w:val="000000"/>
          <w:kern w:val="2"/>
          <w:sz w:val="32"/>
          <w:szCs w:val="32"/>
          <w:lang w:val="en-US" w:eastAsia="zh-CN" w:bidi="ar-SA"/>
        </w:rPr>
        <w:t>（款）</w:t>
      </w:r>
      <w:r>
        <w:rPr>
          <w:rFonts w:hint="eastAsia" w:ascii="仿宋" w:hAnsi="仿宋" w:eastAsia="仿宋" w:cs="Times New Roman"/>
          <w:color w:val="000000"/>
          <w:kern w:val="2"/>
          <w:sz w:val="32"/>
          <w:szCs w:val="32"/>
          <w:lang w:val="en-US" w:eastAsia="zh-CN" w:bidi="ar-SA"/>
        </w:rPr>
        <w:t>社会科学研究</w:t>
      </w:r>
      <w:r>
        <w:rPr>
          <w:rFonts w:hint="default" w:ascii="仿宋" w:hAnsi="仿宋" w:eastAsia="仿宋" w:cs="Times New Roman"/>
          <w:color w:val="000000"/>
          <w:kern w:val="2"/>
          <w:sz w:val="32"/>
          <w:szCs w:val="32"/>
          <w:lang w:val="en-US" w:eastAsia="zh-CN" w:bidi="ar-SA"/>
        </w:rPr>
        <w:t>（项）：指反映</w:t>
      </w:r>
      <w:r>
        <w:rPr>
          <w:rFonts w:hint="eastAsia" w:ascii="仿宋" w:hAnsi="仿宋" w:eastAsia="仿宋" w:cs="Times New Roman"/>
          <w:color w:val="000000"/>
          <w:kern w:val="2"/>
          <w:sz w:val="32"/>
          <w:szCs w:val="32"/>
          <w:lang w:val="en-US" w:eastAsia="zh-CN" w:bidi="ar-SA"/>
        </w:rPr>
        <w:t>除社科基金支出外的社会科学研究支出</w:t>
      </w:r>
      <w:r>
        <w:rPr>
          <w:rFonts w:hint="default" w:ascii="仿宋" w:hAnsi="仿宋" w:eastAsia="仿宋" w:cs="Times New Roman"/>
          <w:color w:val="000000"/>
          <w:kern w:val="2"/>
          <w:sz w:val="32"/>
          <w:szCs w:val="32"/>
          <w:lang w:val="en-US" w:eastAsia="zh-CN" w:bidi="ar-SA"/>
        </w:rPr>
        <w:t>。</w:t>
      </w:r>
    </w:p>
    <w:p>
      <w:pPr>
        <w:pStyle w:val="25"/>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20.</w:t>
      </w:r>
      <w:r>
        <w:rPr>
          <w:rFonts w:hint="default" w:ascii="仿宋" w:hAnsi="仿宋" w:eastAsia="仿宋" w:cs="Times New Roman"/>
          <w:color w:val="000000"/>
          <w:kern w:val="2"/>
          <w:sz w:val="32"/>
          <w:szCs w:val="32"/>
          <w:lang w:val="en-US" w:eastAsia="zh-CN" w:bidi="ar-SA"/>
        </w:rPr>
        <w:t>科学技术（类）其他科学技术（款）其他科学技术</w:t>
      </w:r>
      <w:r>
        <w:rPr>
          <w:rFonts w:hint="eastAsia" w:ascii="仿宋" w:hAnsi="仿宋" w:eastAsia="仿宋" w:cs="Times New Roman"/>
          <w:color w:val="000000"/>
          <w:kern w:val="2"/>
          <w:sz w:val="32"/>
          <w:szCs w:val="32"/>
          <w:lang w:val="en-US" w:eastAsia="zh-CN" w:bidi="ar-SA"/>
        </w:rPr>
        <w:t>支出</w:t>
      </w:r>
      <w:r>
        <w:rPr>
          <w:rFonts w:hint="default" w:ascii="仿宋" w:hAnsi="仿宋" w:eastAsia="仿宋" w:cs="Times New Roman"/>
          <w:color w:val="000000"/>
          <w:kern w:val="2"/>
          <w:sz w:val="32"/>
          <w:szCs w:val="32"/>
          <w:lang w:val="en-US" w:eastAsia="zh-CN" w:bidi="ar-SA"/>
        </w:rPr>
        <w:t>（项）：指反映其他科学技术支出中除“科技奖励”、“核应急”、“转制科研机构”外用于科技方面的支出。</w:t>
      </w:r>
    </w:p>
    <w:p>
      <w:pPr>
        <w:pStyle w:val="25"/>
        <w:spacing w:line="560" w:lineRule="exact"/>
        <w:ind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21.文化旅游体育与传媒支出</w:t>
      </w:r>
      <w:r>
        <w:rPr>
          <w:rFonts w:hint="default" w:ascii="仿宋" w:hAnsi="仿宋" w:eastAsia="仿宋" w:cs="Times New Roman"/>
          <w:color w:val="000000"/>
          <w:kern w:val="2"/>
          <w:sz w:val="32"/>
          <w:szCs w:val="32"/>
          <w:lang w:val="en-US" w:eastAsia="zh-CN" w:bidi="ar-SA"/>
        </w:rPr>
        <w:t>（类）</w:t>
      </w:r>
      <w:r>
        <w:rPr>
          <w:rFonts w:hint="eastAsia" w:ascii="仿宋" w:hAnsi="仿宋" w:eastAsia="仿宋" w:cs="Times New Roman"/>
          <w:color w:val="000000"/>
          <w:kern w:val="2"/>
          <w:sz w:val="32"/>
          <w:szCs w:val="32"/>
          <w:lang w:val="en-US" w:eastAsia="zh-CN" w:bidi="ar-SA"/>
        </w:rPr>
        <w:t>体育</w:t>
      </w:r>
      <w:r>
        <w:rPr>
          <w:rFonts w:hint="default" w:ascii="仿宋" w:hAnsi="仿宋" w:eastAsia="仿宋" w:cs="Times New Roman"/>
          <w:color w:val="000000"/>
          <w:kern w:val="2"/>
          <w:sz w:val="32"/>
          <w:szCs w:val="32"/>
          <w:lang w:val="en-US" w:eastAsia="zh-CN" w:bidi="ar-SA"/>
        </w:rPr>
        <w:t>（款）</w:t>
      </w:r>
      <w:r>
        <w:rPr>
          <w:rFonts w:hint="eastAsia" w:ascii="仿宋" w:hAnsi="仿宋" w:eastAsia="仿宋" w:cs="Times New Roman"/>
          <w:color w:val="000000"/>
          <w:kern w:val="2"/>
          <w:sz w:val="32"/>
          <w:szCs w:val="32"/>
          <w:lang w:val="en-US" w:eastAsia="zh-CN" w:bidi="ar-SA"/>
        </w:rPr>
        <w:t>运动项目管理</w:t>
      </w:r>
      <w:r>
        <w:rPr>
          <w:rFonts w:hint="default" w:ascii="仿宋" w:hAnsi="仿宋" w:eastAsia="仿宋" w:cs="Times New Roman"/>
          <w:color w:val="000000"/>
          <w:kern w:val="2"/>
          <w:sz w:val="32"/>
          <w:szCs w:val="32"/>
          <w:lang w:val="en-US" w:eastAsia="zh-CN" w:bidi="ar-SA"/>
        </w:rPr>
        <w:t>（项）：指反映</w:t>
      </w:r>
      <w:r>
        <w:rPr>
          <w:rFonts w:hint="eastAsia" w:ascii="仿宋" w:hAnsi="仿宋" w:eastAsia="仿宋" w:cs="Times New Roman"/>
          <w:color w:val="000000"/>
          <w:kern w:val="2"/>
          <w:sz w:val="32"/>
          <w:szCs w:val="32"/>
          <w:lang w:val="en-US" w:eastAsia="zh-CN" w:bidi="ar-SA"/>
        </w:rPr>
        <w:t>各项目运动管理中心和运动学校等单位的日常管理支出。</w:t>
      </w:r>
    </w:p>
    <w:p>
      <w:pPr>
        <w:pStyle w:val="25"/>
        <w:spacing w:line="560" w:lineRule="exact"/>
        <w:ind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22.文化旅游体育与传媒支出</w:t>
      </w:r>
      <w:r>
        <w:rPr>
          <w:rFonts w:hint="default" w:ascii="仿宋" w:hAnsi="仿宋" w:eastAsia="仿宋" w:cs="Times New Roman"/>
          <w:color w:val="000000"/>
          <w:kern w:val="2"/>
          <w:sz w:val="32"/>
          <w:szCs w:val="32"/>
          <w:lang w:val="en-US" w:eastAsia="zh-CN" w:bidi="ar-SA"/>
        </w:rPr>
        <w:t>（类）</w:t>
      </w:r>
      <w:r>
        <w:rPr>
          <w:rFonts w:hint="eastAsia" w:ascii="仿宋" w:hAnsi="仿宋" w:eastAsia="仿宋" w:cs="Times New Roman"/>
          <w:color w:val="000000"/>
          <w:kern w:val="2"/>
          <w:sz w:val="32"/>
          <w:szCs w:val="32"/>
          <w:lang w:val="en-US" w:eastAsia="zh-CN" w:bidi="ar-SA"/>
        </w:rPr>
        <w:t>体育</w:t>
      </w:r>
      <w:r>
        <w:rPr>
          <w:rFonts w:hint="default" w:ascii="仿宋" w:hAnsi="仿宋" w:eastAsia="仿宋" w:cs="Times New Roman"/>
          <w:color w:val="000000"/>
          <w:kern w:val="2"/>
          <w:sz w:val="32"/>
          <w:szCs w:val="32"/>
          <w:lang w:val="en-US" w:eastAsia="zh-CN" w:bidi="ar-SA"/>
        </w:rPr>
        <w:t>（款）</w:t>
      </w:r>
      <w:r>
        <w:rPr>
          <w:rFonts w:hint="eastAsia" w:ascii="仿宋" w:hAnsi="仿宋" w:eastAsia="仿宋" w:cs="Times New Roman"/>
          <w:color w:val="000000"/>
          <w:kern w:val="2"/>
          <w:sz w:val="32"/>
          <w:szCs w:val="32"/>
          <w:lang w:val="en-US" w:eastAsia="zh-CN" w:bidi="ar-SA"/>
        </w:rPr>
        <w:t>其他体育支出</w:t>
      </w:r>
      <w:r>
        <w:rPr>
          <w:rFonts w:hint="default" w:ascii="仿宋" w:hAnsi="仿宋" w:eastAsia="仿宋" w:cs="Times New Roman"/>
          <w:color w:val="000000"/>
          <w:kern w:val="2"/>
          <w:sz w:val="32"/>
          <w:szCs w:val="32"/>
          <w:lang w:val="en-US" w:eastAsia="zh-CN" w:bidi="ar-SA"/>
        </w:rPr>
        <w:t>（项）：指反映</w:t>
      </w:r>
      <w:r>
        <w:rPr>
          <w:rFonts w:hint="eastAsia" w:ascii="仿宋" w:hAnsi="仿宋" w:eastAsia="仿宋" w:cs="Times New Roman"/>
          <w:color w:val="000000"/>
          <w:kern w:val="2"/>
          <w:sz w:val="32"/>
          <w:szCs w:val="32"/>
          <w:lang w:val="en-US" w:eastAsia="zh-CN" w:bidi="ar-SA"/>
        </w:rPr>
        <w:t>体育支出中除“运动项目管理”、“体育竞赛”等项目以外其他用于体育方面的支出。</w:t>
      </w:r>
    </w:p>
    <w:p>
      <w:pPr>
        <w:pStyle w:val="25"/>
        <w:spacing w:line="560" w:lineRule="exact"/>
        <w:ind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23</w:t>
      </w:r>
      <w:r>
        <w:rPr>
          <w:rFonts w:hint="default" w:ascii="仿宋" w:hAnsi="仿宋" w:eastAsia="仿宋" w:cs="Times New Roman"/>
          <w:color w:val="000000"/>
          <w:kern w:val="2"/>
          <w:sz w:val="32"/>
          <w:szCs w:val="32"/>
          <w:lang w:val="en-US" w:eastAsia="zh-CN" w:bidi="ar-SA"/>
        </w:rPr>
        <w:t>.社会保障和就业（类）</w:t>
      </w:r>
      <w:r>
        <w:rPr>
          <w:rFonts w:hint="eastAsia" w:ascii="仿宋" w:hAnsi="仿宋" w:eastAsia="仿宋" w:cs="Times New Roman"/>
          <w:color w:val="000000"/>
          <w:kern w:val="2"/>
          <w:sz w:val="32"/>
          <w:szCs w:val="32"/>
          <w:lang w:val="en-US" w:eastAsia="zh-CN" w:bidi="ar-SA"/>
        </w:rPr>
        <w:t>人力资源和社会保障管理事务</w:t>
      </w:r>
      <w:r>
        <w:rPr>
          <w:rFonts w:hint="default" w:ascii="仿宋" w:hAnsi="仿宋" w:eastAsia="仿宋" w:cs="Times New Roman"/>
          <w:color w:val="000000"/>
          <w:kern w:val="2"/>
          <w:sz w:val="32"/>
          <w:szCs w:val="32"/>
          <w:lang w:val="en-US" w:eastAsia="zh-CN" w:bidi="ar-SA"/>
        </w:rPr>
        <w:t>（款）</w:t>
      </w:r>
      <w:r>
        <w:rPr>
          <w:rFonts w:hint="eastAsia" w:ascii="仿宋" w:hAnsi="仿宋" w:eastAsia="仿宋" w:cs="Times New Roman"/>
          <w:color w:val="000000"/>
          <w:kern w:val="2"/>
          <w:sz w:val="32"/>
          <w:szCs w:val="32"/>
          <w:lang w:val="en-US" w:eastAsia="zh-CN" w:bidi="ar-SA"/>
        </w:rPr>
        <w:t>综合业务管理</w:t>
      </w:r>
      <w:r>
        <w:rPr>
          <w:rFonts w:hint="default" w:ascii="仿宋" w:hAnsi="仿宋" w:eastAsia="仿宋" w:cs="Times New Roman"/>
          <w:color w:val="000000"/>
          <w:kern w:val="2"/>
          <w:sz w:val="32"/>
          <w:szCs w:val="32"/>
          <w:lang w:val="en-US" w:eastAsia="zh-CN" w:bidi="ar-SA"/>
        </w:rPr>
        <w:t>（项）：反映</w:t>
      </w:r>
      <w:r>
        <w:rPr>
          <w:rFonts w:hint="eastAsia" w:ascii="仿宋" w:hAnsi="仿宋" w:eastAsia="仿宋" w:cs="Times New Roman"/>
          <w:color w:val="000000"/>
          <w:kern w:val="2"/>
          <w:sz w:val="32"/>
          <w:szCs w:val="32"/>
          <w:lang w:val="en-US" w:eastAsia="zh-CN" w:bidi="ar-SA"/>
        </w:rPr>
        <w:t>人力资源和社会保障管理方面综合性管理事务</w:t>
      </w:r>
      <w:r>
        <w:rPr>
          <w:rFonts w:hint="default" w:ascii="仿宋" w:hAnsi="仿宋" w:eastAsia="仿宋" w:cs="Times New Roman"/>
          <w:color w:val="000000"/>
          <w:kern w:val="2"/>
          <w:sz w:val="32"/>
          <w:szCs w:val="32"/>
          <w:lang w:val="en-US" w:eastAsia="zh-CN" w:bidi="ar-SA"/>
        </w:rPr>
        <w:t>支出</w:t>
      </w:r>
      <w:r>
        <w:rPr>
          <w:rFonts w:hint="eastAsia" w:ascii="仿宋" w:hAnsi="仿宋" w:eastAsia="仿宋" w:cs="Times New Roman"/>
          <w:color w:val="000000"/>
          <w:kern w:val="2"/>
          <w:sz w:val="32"/>
          <w:szCs w:val="32"/>
          <w:lang w:val="en-US" w:eastAsia="zh-CN" w:bidi="ar-SA"/>
        </w:rPr>
        <w:t>。</w:t>
      </w:r>
    </w:p>
    <w:p>
      <w:pPr>
        <w:pStyle w:val="25"/>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24</w:t>
      </w:r>
      <w:r>
        <w:rPr>
          <w:rFonts w:hint="default" w:ascii="仿宋" w:hAnsi="仿宋" w:eastAsia="仿宋" w:cs="Times New Roman"/>
          <w:color w:val="000000"/>
          <w:kern w:val="2"/>
          <w:sz w:val="32"/>
          <w:szCs w:val="32"/>
          <w:lang w:val="en-US" w:eastAsia="zh-CN" w:bidi="ar-SA"/>
        </w:rPr>
        <w:t>.社会保障和就业（类）行政事业单位离退休（款）机关事业单位基本养老保险缴费支出（项）：反映机关事业单位实施养老保险制度由单位缴纳的基本养老保险支出。</w:t>
      </w:r>
    </w:p>
    <w:p>
      <w:pPr>
        <w:pStyle w:val="25"/>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25</w:t>
      </w:r>
      <w:r>
        <w:rPr>
          <w:rFonts w:hint="default" w:ascii="仿宋" w:hAnsi="仿宋" w:eastAsia="仿宋" w:cs="Times New Roman"/>
          <w:color w:val="000000"/>
          <w:kern w:val="2"/>
          <w:sz w:val="32"/>
          <w:szCs w:val="32"/>
          <w:lang w:val="en-US" w:eastAsia="zh-CN" w:bidi="ar-SA"/>
        </w:rPr>
        <w:t>.社会保障和就业（类）行政事业单位离退休（款）机关事业单位职业年金缴费支出（项）：指反映机关事业单位实施养老保险制度由单位实际缴纳的职业年金支出。</w:t>
      </w:r>
    </w:p>
    <w:p>
      <w:pPr>
        <w:pStyle w:val="25"/>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26</w:t>
      </w:r>
      <w:r>
        <w:rPr>
          <w:rFonts w:hint="default" w:ascii="仿宋" w:hAnsi="仿宋" w:eastAsia="仿宋" w:cs="Times New Roman"/>
          <w:color w:val="000000"/>
          <w:kern w:val="2"/>
          <w:sz w:val="32"/>
          <w:szCs w:val="32"/>
          <w:lang w:val="en-US" w:eastAsia="zh-CN" w:bidi="ar-SA"/>
        </w:rPr>
        <w:t>.社会保障和就业（类）行政事业单位离退休（款）其他行政事业单位离退休支出（项）：指反映除“归口管理的行政单位离退休”、“事业单位离退休”、“离退休人员管理机构”、“未归口管理的行政单位离退休”“机关事业单位基本养老保险缴费支出”、“机关事业单位职业年金缴费支出”、“机关事业单位基本养老保险基金的补助支出”外其他用于行政事业单位离退休方面的支出。</w:t>
      </w:r>
    </w:p>
    <w:p>
      <w:pPr>
        <w:pStyle w:val="25"/>
        <w:spacing w:line="560" w:lineRule="exact"/>
        <w:ind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27.</w:t>
      </w:r>
      <w:r>
        <w:rPr>
          <w:rFonts w:hint="default" w:ascii="仿宋" w:hAnsi="仿宋" w:eastAsia="仿宋" w:cs="Times New Roman"/>
          <w:color w:val="000000"/>
          <w:kern w:val="2"/>
          <w:sz w:val="32"/>
          <w:szCs w:val="32"/>
          <w:lang w:val="en-US" w:eastAsia="zh-CN" w:bidi="ar-SA"/>
        </w:rPr>
        <w:t>社会保障和就业（类）</w:t>
      </w:r>
      <w:r>
        <w:rPr>
          <w:rFonts w:hint="eastAsia" w:ascii="仿宋" w:hAnsi="仿宋" w:eastAsia="仿宋" w:cs="Times New Roman"/>
          <w:color w:val="000000"/>
          <w:kern w:val="2"/>
          <w:sz w:val="32"/>
          <w:szCs w:val="32"/>
          <w:lang w:val="en-US" w:eastAsia="zh-CN" w:bidi="ar-SA"/>
        </w:rPr>
        <w:t>抚恤</w:t>
      </w:r>
      <w:r>
        <w:rPr>
          <w:rFonts w:hint="default" w:ascii="仿宋" w:hAnsi="仿宋" w:eastAsia="仿宋" w:cs="Times New Roman"/>
          <w:color w:val="000000"/>
          <w:kern w:val="2"/>
          <w:sz w:val="32"/>
          <w:szCs w:val="32"/>
          <w:lang w:val="en-US" w:eastAsia="zh-CN" w:bidi="ar-SA"/>
        </w:rPr>
        <w:t>（款）</w:t>
      </w:r>
      <w:r>
        <w:rPr>
          <w:rFonts w:hint="eastAsia" w:ascii="仿宋" w:hAnsi="仿宋" w:eastAsia="仿宋" w:cs="Times New Roman"/>
          <w:color w:val="000000"/>
          <w:kern w:val="2"/>
          <w:sz w:val="32"/>
          <w:szCs w:val="32"/>
          <w:lang w:val="en-US" w:eastAsia="zh-CN" w:bidi="ar-SA"/>
        </w:rPr>
        <w:t>死亡抚恤</w:t>
      </w:r>
      <w:r>
        <w:rPr>
          <w:rFonts w:hint="default" w:ascii="仿宋" w:hAnsi="仿宋" w:eastAsia="仿宋" w:cs="Times New Roman"/>
          <w:color w:val="000000"/>
          <w:kern w:val="2"/>
          <w:sz w:val="32"/>
          <w:szCs w:val="32"/>
          <w:lang w:val="en-US" w:eastAsia="zh-CN" w:bidi="ar-SA"/>
        </w:rPr>
        <w:t>（项）：反映</w:t>
      </w:r>
      <w:r>
        <w:rPr>
          <w:rFonts w:hint="eastAsia" w:ascii="仿宋" w:hAnsi="仿宋" w:eastAsia="仿宋" w:cs="Times New Roman"/>
          <w:color w:val="000000"/>
          <w:kern w:val="2"/>
          <w:sz w:val="32"/>
          <w:szCs w:val="32"/>
          <w:lang w:val="en-US" w:eastAsia="zh-CN" w:bidi="ar-SA"/>
        </w:rPr>
        <w:t>按规定用于烈士和牺牲、病故人员家属的一次性和定期抚恤金以及丧葬补助费。</w:t>
      </w:r>
    </w:p>
    <w:p>
      <w:pPr>
        <w:pStyle w:val="25"/>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28</w:t>
      </w:r>
      <w:r>
        <w:rPr>
          <w:rFonts w:hint="default" w:ascii="仿宋" w:hAnsi="仿宋" w:eastAsia="仿宋" w:cs="Times New Roman"/>
          <w:color w:val="000000"/>
          <w:kern w:val="2"/>
          <w:sz w:val="32"/>
          <w:szCs w:val="32"/>
          <w:lang w:val="en-US" w:eastAsia="zh-CN" w:bidi="ar-SA"/>
        </w:rPr>
        <w:t>.社会保障和就业（类）</w:t>
      </w:r>
      <w:r>
        <w:rPr>
          <w:rFonts w:hint="eastAsia" w:ascii="仿宋" w:hAnsi="仿宋" w:eastAsia="仿宋" w:cs="Times New Roman"/>
          <w:color w:val="000000"/>
          <w:kern w:val="2"/>
          <w:sz w:val="32"/>
          <w:szCs w:val="32"/>
          <w:lang w:val="en-US" w:eastAsia="zh-CN" w:bidi="ar-SA"/>
        </w:rPr>
        <w:t>其他生活救助</w:t>
      </w:r>
      <w:r>
        <w:rPr>
          <w:rFonts w:hint="default" w:ascii="仿宋" w:hAnsi="仿宋" w:eastAsia="仿宋" w:cs="Times New Roman"/>
          <w:color w:val="000000"/>
          <w:kern w:val="2"/>
          <w:sz w:val="32"/>
          <w:szCs w:val="32"/>
          <w:lang w:val="en-US" w:eastAsia="zh-CN" w:bidi="ar-SA"/>
        </w:rPr>
        <w:t>（款）其他</w:t>
      </w:r>
      <w:r>
        <w:rPr>
          <w:rFonts w:hint="eastAsia" w:ascii="仿宋" w:hAnsi="仿宋" w:eastAsia="仿宋" w:cs="Times New Roman"/>
          <w:color w:val="000000"/>
          <w:kern w:val="2"/>
          <w:sz w:val="32"/>
          <w:szCs w:val="32"/>
          <w:lang w:val="en-US" w:eastAsia="zh-CN" w:bidi="ar-SA"/>
        </w:rPr>
        <w:t>城市生活救助</w:t>
      </w:r>
      <w:r>
        <w:rPr>
          <w:rFonts w:hint="default" w:ascii="仿宋" w:hAnsi="仿宋" w:eastAsia="仿宋" w:cs="Times New Roman"/>
          <w:color w:val="000000"/>
          <w:kern w:val="2"/>
          <w:sz w:val="32"/>
          <w:szCs w:val="32"/>
          <w:lang w:val="en-US" w:eastAsia="zh-CN" w:bidi="ar-SA"/>
        </w:rPr>
        <w:t>（项）：指反映</w:t>
      </w:r>
      <w:r>
        <w:rPr>
          <w:rFonts w:hint="eastAsia" w:ascii="仿宋" w:hAnsi="仿宋" w:eastAsia="仿宋" w:cs="Times New Roman"/>
          <w:color w:val="000000"/>
          <w:kern w:val="2"/>
          <w:sz w:val="32"/>
          <w:szCs w:val="32"/>
          <w:lang w:val="en-US" w:eastAsia="zh-CN" w:bidi="ar-SA"/>
        </w:rPr>
        <w:t>除最低生活保障、临时救助、特困人员供养外，用于城市生活困难居民生活救助的其他支出</w:t>
      </w:r>
      <w:r>
        <w:rPr>
          <w:rFonts w:hint="default" w:ascii="仿宋" w:hAnsi="仿宋" w:eastAsia="仿宋" w:cs="Times New Roman"/>
          <w:color w:val="000000"/>
          <w:kern w:val="2"/>
          <w:sz w:val="32"/>
          <w:szCs w:val="32"/>
          <w:lang w:val="en-US" w:eastAsia="zh-CN" w:bidi="ar-SA"/>
        </w:rPr>
        <w:t>。</w:t>
      </w:r>
    </w:p>
    <w:p>
      <w:pPr>
        <w:pStyle w:val="25"/>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29</w:t>
      </w:r>
      <w:r>
        <w:rPr>
          <w:rFonts w:hint="default" w:ascii="仿宋" w:hAnsi="仿宋" w:eastAsia="仿宋" w:cs="Times New Roman"/>
          <w:color w:val="000000"/>
          <w:kern w:val="2"/>
          <w:sz w:val="32"/>
          <w:szCs w:val="32"/>
          <w:lang w:val="en-US" w:eastAsia="zh-CN" w:bidi="ar-SA"/>
        </w:rPr>
        <w:t>.社会保障和就业（类）其他社会保障和就业（款）其他社会保障和就业支出（项）：指反映除上述项目以外其他用于社会保障和就业方面的支出。</w:t>
      </w:r>
    </w:p>
    <w:p>
      <w:pPr>
        <w:pStyle w:val="25"/>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30</w:t>
      </w:r>
      <w:r>
        <w:rPr>
          <w:rFonts w:hint="default" w:ascii="仿宋" w:hAnsi="仿宋" w:eastAsia="仿宋" w:cs="Times New Roman"/>
          <w:color w:val="000000"/>
          <w:kern w:val="2"/>
          <w:sz w:val="32"/>
          <w:szCs w:val="32"/>
          <w:lang w:val="en-US" w:eastAsia="zh-CN" w:bidi="ar-SA"/>
        </w:rPr>
        <w:t>.</w:t>
      </w:r>
      <w:r>
        <w:rPr>
          <w:rFonts w:hint="eastAsia" w:ascii="仿宋" w:hAnsi="仿宋" w:eastAsia="仿宋" w:cs="Times New Roman"/>
          <w:color w:val="000000"/>
          <w:kern w:val="2"/>
          <w:sz w:val="32"/>
          <w:szCs w:val="32"/>
          <w:lang w:val="en-US" w:eastAsia="zh-CN" w:bidi="ar-SA"/>
        </w:rPr>
        <w:t>卫生健康支出</w:t>
      </w:r>
      <w:r>
        <w:rPr>
          <w:rFonts w:hint="default" w:ascii="仿宋" w:hAnsi="仿宋" w:eastAsia="仿宋" w:cs="Times New Roman"/>
          <w:color w:val="000000"/>
          <w:kern w:val="2"/>
          <w:sz w:val="32"/>
          <w:szCs w:val="32"/>
          <w:lang w:val="en-US" w:eastAsia="zh-CN" w:bidi="ar-SA"/>
        </w:rPr>
        <w:t>（类）公立医院（款）综合医院（项）：指反映卫生</w:t>
      </w:r>
      <w:r>
        <w:rPr>
          <w:rFonts w:hint="eastAsia" w:ascii="仿宋" w:hAnsi="仿宋" w:eastAsia="仿宋" w:cs="Times New Roman"/>
          <w:color w:val="000000"/>
          <w:kern w:val="2"/>
          <w:sz w:val="32"/>
          <w:szCs w:val="32"/>
          <w:lang w:val="en-US" w:eastAsia="zh-CN" w:bidi="ar-SA"/>
        </w:rPr>
        <w:t>健康</w:t>
      </w:r>
      <w:r>
        <w:rPr>
          <w:rFonts w:hint="default" w:ascii="仿宋" w:hAnsi="仿宋" w:eastAsia="仿宋" w:cs="Times New Roman"/>
          <w:color w:val="000000"/>
          <w:kern w:val="2"/>
          <w:sz w:val="32"/>
          <w:szCs w:val="32"/>
          <w:lang w:val="en-US" w:eastAsia="zh-CN" w:bidi="ar-SA"/>
        </w:rPr>
        <w:t>、中医部门所属的城市综合性医院、独立门诊、教学医院、</w:t>
      </w:r>
      <w:r>
        <w:rPr>
          <w:rFonts w:hint="eastAsia" w:ascii="仿宋" w:hAnsi="仿宋" w:eastAsia="仿宋" w:cs="Times New Roman"/>
          <w:color w:val="000000"/>
          <w:kern w:val="2"/>
          <w:sz w:val="32"/>
          <w:szCs w:val="32"/>
          <w:lang w:val="en-US" w:eastAsia="zh-CN" w:bidi="ar-SA"/>
        </w:rPr>
        <w:t>疗养院</w:t>
      </w:r>
      <w:r>
        <w:rPr>
          <w:rFonts w:hint="default" w:ascii="仿宋" w:hAnsi="仿宋" w:eastAsia="仿宋" w:cs="Times New Roman"/>
          <w:color w:val="000000"/>
          <w:kern w:val="2"/>
          <w:sz w:val="32"/>
          <w:szCs w:val="32"/>
          <w:lang w:val="en-US" w:eastAsia="zh-CN" w:bidi="ar-SA"/>
        </w:rPr>
        <w:t>和县医院的支出。</w:t>
      </w:r>
    </w:p>
    <w:p>
      <w:pPr>
        <w:pStyle w:val="25"/>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31</w:t>
      </w:r>
      <w:r>
        <w:rPr>
          <w:rFonts w:hint="default" w:ascii="仿宋" w:hAnsi="仿宋" w:eastAsia="仿宋" w:cs="Times New Roman"/>
          <w:color w:val="000000"/>
          <w:kern w:val="2"/>
          <w:sz w:val="32"/>
          <w:szCs w:val="32"/>
          <w:lang w:val="en-US" w:eastAsia="zh-CN" w:bidi="ar-SA"/>
        </w:rPr>
        <w:t>.</w:t>
      </w:r>
      <w:r>
        <w:rPr>
          <w:rFonts w:hint="eastAsia" w:ascii="仿宋" w:hAnsi="仿宋" w:eastAsia="仿宋" w:cs="Times New Roman"/>
          <w:color w:val="000000"/>
          <w:kern w:val="2"/>
          <w:sz w:val="32"/>
          <w:szCs w:val="32"/>
          <w:lang w:val="en-US" w:eastAsia="zh-CN" w:bidi="ar-SA"/>
        </w:rPr>
        <w:t>卫生健康支出</w:t>
      </w:r>
      <w:r>
        <w:rPr>
          <w:rFonts w:hint="default" w:ascii="仿宋" w:hAnsi="仿宋" w:eastAsia="仿宋" w:cs="Times New Roman"/>
          <w:color w:val="000000"/>
          <w:kern w:val="2"/>
          <w:sz w:val="32"/>
          <w:szCs w:val="32"/>
          <w:lang w:val="en-US" w:eastAsia="zh-CN" w:bidi="ar-SA"/>
        </w:rPr>
        <w:t>（类）公立医院（款）其他公立医院支出（项）：指反映“综合医院”、“中医（民族）医院”等项目以外其他用于公立医院方面的支出。</w:t>
      </w:r>
    </w:p>
    <w:p>
      <w:pPr>
        <w:pStyle w:val="25"/>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32</w:t>
      </w:r>
      <w:r>
        <w:rPr>
          <w:rFonts w:hint="default" w:ascii="仿宋" w:hAnsi="仿宋" w:eastAsia="仿宋" w:cs="Times New Roman"/>
          <w:color w:val="000000"/>
          <w:kern w:val="2"/>
          <w:sz w:val="32"/>
          <w:szCs w:val="32"/>
          <w:lang w:val="en-US" w:eastAsia="zh-CN" w:bidi="ar-SA"/>
        </w:rPr>
        <w:t>.</w:t>
      </w:r>
      <w:r>
        <w:rPr>
          <w:rFonts w:hint="eastAsia" w:ascii="仿宋" w:hAnsi="仿宋" w:eastAsia="仿宋" w:cs="Times New Roman"/>
          <w:color w:val="000000"/>
          <w:kern w:val="2"/>
          <w:sz w:val="32"/>
          <w:szCs w:val="32"/>
          <w:lang w:val="en-US" w:eastAsia="zh-CN" w:bidi="ar-SA"/>
        </w:rPr>
        <w:t>卫生健康支出</w:t>
      </w:r>
      <w:r>
        <w:rPr>
          <w:rFonts w:hint="default" w:ascii="仿宋" w:hAnsi="仿宋" w:eastAsia="仿宋" w:cs="Times New Roman"/>
          <w:color w:val="000000"/>
          <w:kern w:val="2"/>
          <w:sz w:val="32"/>
          <w:szCs w:val="32"/>
          <w:lang w:val="en-US" w:eastAsia="zh-CN" w:bidi="ar-SA"/>
        </w:rPr>
        <w:t>（类）</w:t>
      </w:r>
      <w:r>
        <w:rPr>
          <w:rFonts w:hint="eastAsia" w:ascii="仿宋" w:hAnsi="仿宋" w:eastAsia="仿宋" w:cs="Times New Roman"/>
          <w:color w:val="000000"/>
          <w:kern w:val="2"/>
          <w:sz w:val="32"/>
          <w:szCs w:val="32"/>
          <w:lang w:val="en-US" w:eastAsia="zh-CN" w:bidi="ar-SA"/>
        </w:rPr>
        <w:t>公共卫生</w:t>
      </w:r>
      <w:r>
        <w:rPr>
          <w:rFonts w:hint="default" w:ascii="仿宋" w:hAnsi="仿宋" w:eastAsia="仿宋" w:cs="Times New Roman"/>
          <w:color w:val="000000"/>
          <w:kern w:val="2"/>
          <w:sz w:val="32"/>
          <w:szCs w:val="32"/>
          <w:lang w:val="en-US" w:eastAsia="zh-CN" w:bidi="ar-SA"/>
        </w:rPr>
        <w:t>（款）</w:t>
      </w:r>
      <w:r>
        <w:rPr>
          <w:rFonts w:hint="eastAsia" w:ascii="仿宋" w:hAnsi="仿宋" w:eastAsia="仿宋" w:cs="Times New Roman"/>
          <w:color w:val="000000"/>
          <w:kern w:val="2"/>
          <w:sz w:val="32"/>
          <w:szCs w:val="32"/>
          <w:lang w:val="en-US" w:eastAsia="zh-CN" w:bidi="ar-SA"/>
        </w:rPr>
        <w:t>重大公共卫生专项</w:t>
      </w:r>
      <w:r>
        <w:rPr>
          <w:rFonts w:hint="default" w:ascii="仿宋" w:hAnsi="仿宋" w:eastAsia="仿宋" w:cs="Times New Roman"/>
          <w:color w:val="000000"/>
          <w:kern w:val="2"/>
          <w:sz w:val="32"/>
          <w:szCs w:val="32"/>
          <w:lang w:val="en-US" w:eastAsia="zh-CN" w:bidi="ar-SA"/>
        </w:rPr>
        <w:t>（项）：指反映</w:t>
      </w:r>
      <w:r>
        <w:rPr>
          <w:rFonts w:hint="eastAsia" w:ascii="仿宋" w:hAnsi="仿宋" w:eastAsia="仿宋" w:cs="Times New Roman"/>
          <w:color w:val="000000"/>
          <w:kern w:val="2"/>
          <w:sz w:val="32"/>
          <w:szCs w:val="32"/>
          <w:lang w:val="en-US" w:eastAsia="zh-CN" w:bidi="ar-SA"/>
        </w:rPr>
        <w:t>重大疾病预防控制等重大公共卫生服务项目</w:t>
      </w:r>
      <w:r>
        <w:rPr>
          <w:rFonts w:hint="default" w:ascii="仿宋" w:hAnsi="仿宋" w:eastAsia="仿宋" w:cs="Times New Roman"/>
          <w:color w:val="000000"/>
          <w:kern w:val="2"/>
          <w:sz w:val="32"/>
          <w:szCs w:val="32"/>
          <w:lang w:val="en-US" w:eastAsia="zh-CN" w:bidi="ar-SA"/>
        </w:rPr>
        <w:t>支出。</w:t>
      </w:r>
    </w:p>
    <w:p>
      <w:pPr>
        <w:pStyle w:val="25"/>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33</w:t>
      </w:r>
      <w:r>
        <w:rPr>
          <w:rFonts w:hint="default" w:ascii="仿宋" w:hAnsi="仿宋" w:eastAsia="仿宋" w:cs="Times New Roman"/>
          <w:color w:val="000000"/>
          <w:kern w:val="2"/>
          <w:sz w:val="32"/>
          <w:szCs w:val="32"/>
          <w:lang w:val="en-US" w:eastAsia="zh-CN" w:bidi="ar-SA"/>
        </w:rPr>
        <w:t>.</w:t>
      </w:r>
      <w:r>
        <w:rPr>
          <w:rFonts w:hint="eastAsia" w:ascii="仿宋" w:hAnsi="仿宋" w:eastAsia="仿宋" w:cs="Times New Roman"/>
          <w:color w:val="000000"/>
          <w:kern w:val="2"/>
          <w:sz w:val="32"/>
          <w:szCs w:val="32"/>
          <w:lang w:val="en-US" w:eastAsia="zh-CN" w:bidi="ar-SA"/>
        </w:rPr>
        <w:t>卫生健康支出</w:t>
      </w:r>
      <w:r>
        <w:rPr>
          <w:rFonts w:hint="default" w:ascii="仿宋" w:hAnsi="仿宋" w:eastAsia="仿宋" w:cs="Times New Roman"/>
          <w:color w:val="000000"/>
          <w:kern w:val="2"/>
          <w:sz w:val="32"/>
          <w:szCs w:val="32"/>
          <w:lang w:val="en-US" w:eastAsia="zh-CN" w:bidi="ar-SA"/>
        </w:rPr>
        <w:t>（类）</w:t>
      </w:r>
      <w:r>
        <w:rPr>
          <w:rFonts w:hint="eastAsia" w:ascii="仿宋" w:hAnsi="仿宋" w:eastAsia="仿宋" w:cs="Times New Roman"/>
          <w:color w:val="000000"/>
          <w:kern w:val="2"/>
          <w:sz w:val="32"/>
          <w:szCs w:val="32"/>
          <w:lang w:val="en-US" w:eastAsia="zh-CN" w:bidi="ar-SA"/>
        </w:rPr>
        <w:t>行政事业单位医疗</w:t>
      </w:r>
      <w:r>
        <w:rPr>
          <w:rFonts w:hint="default" w:ascii="仿宋" w:hAnsi="仿宋" w:eastAsia="仿宋" w:cs="Times New Roman"/>
          <w:color w:val="000000"/>
          <w:kern w:val="2"/>
          <w:sz w:val="32"/>
          <w:szCs w:val="32"/>
          <w:lang w:val="en-US" w:eastAsia="zh-CN" w:bidi="ar-SA"/>
        </w:rPr>
        <w:t>（款）</w:t>
      </w:r>
      <w:r>
        <w:rPr>
          <w:rFonts w:hint="eastAsia" w:ascii="仿宋" w:hAnsi="仿宋" w:eastAsia="仿宋" w:cs="Times New Roman"/>
          <w:color w:val="000000"/>
          <w:kern w:val="2"/>
          <w:sz w:val="32"/>
          <w:szCs w:val="32"/>
          <w:lang w:val="en-US" w:eastAsia="zh-CN" w:bidi="ar-SA"/>
        </w:rPr>
        <w:t>事业单位医疗</w:t>
      </w:r>
      <w:r>
        <w:rPr>
          <w:rFonts w:hint="default" w:ascii="仿宋" w:hAnsi="仿宋" w:eastAsia="仿宋" w:cs="Times New Roman"/>
          <w:color w:val="000000"/>
          <w:kern w:val="2"/>
          <w:sz w:val="32"/>
          <w:szCs w:val="32"/>
          <w:lang w:val="en-US" w:eastAsia="zh-CN" w:bidi="ar-SA"/>
        </w:rPr>
        <w:t>（项）：指反映</w:t>
      </w:r>
      <w:r>
        <w:rPr>
          <w:rFonts w:hint="eastAsia" w:ascii="仿宋" w:hAnsi="仿宋" w:eastAsia="仿宋" w:cs="Times New Roman"/>
          <w:color w:val="000000"/>
          <w:kern w:val="2"/>
          <w:sz w:val="32"/>
          <w:szCs w:val="32"/>
          <w:lang w:val="en-US" w:eastAsia="zh-CN" w:bidi="ar-SA"/>
        </w:rPr>
        <w:t>财政部门安排的事业单位基本医疗保险缴费经费，未参加医疗保险的事业单位的公费医疗经费按国家规定享受离休人员待遇的医疗经费</w:t>
      </w:r>
      <w:r>
        <w:rPr>
          <w:rFonts w:hint="default" w:ascii="仿宋" w:hAnsi="仿宋" w:eastAsia="仿宋" w:cs="Times New Roman"/>
          <w:color w:val="000000"/>
          <w:kern w:val="2"/>
          <w:sz w:val="32"/>
          <w:szCs w:val="32"/>
          <w:lang w:val="en-US" w:eastAsia="zh-CN" w:bidi="ar-SA"/>
        </w:rPr>
        <w:t>。</w:t>
      </w:r>
    </w:p>
    <w:p>
      <w:pPr>
        <w:pStyle w:val="25"/>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34</w:t>
      </w:r>
      <w:r>
        <w:rPr>
          <w:rFonts w:hint="default" w:ascii="仿宋" w:hAnsi="仿宋" w:eastAsia="仿宋" w:cs="Times New Roman"/>
          <w:color w:val="000000"/>
          <w:kern w:val="2"/>
          <w:sz w:val="32"/>
          <w:szCs w:val="32"/>
          <w:lang w:val="en-US" w:eastAsia="zh-CN" w:bidi="ar-SA"/>
        </w:rPr>
        <w:t>.</w:t>
      </w:r>
      <w:r>
        <w:rPr>
          <w:rFonts w:hint="eastAsia" w:ascii="仿宋" w:hAnsi="仿宋" w:eastAsia="仿宋" w:cs="Times New Roman"/>
          <w:color w:val="000000"/>
          <w:kern w:val="2"/>
          <w:sz w:val="32"/>
          <w:szCs w:val="32"/>
          <w:lang w:val="en-US" w:eastAsia="zh-CN" w:bidi="ar-SA"/>
        </w:rPr>
        <w:t>卫生健康支出</w:t>
      </w:r>
      <w:r>
        <w:rPr>
          <w:rFonts w:hint="default" w:ascii="仿宋" w:hAnsi="仿宋" w:eastAsia="仿宋" w:cs="Times New Roman"/>
          <w:color w:val="000000"/>
          <w:kern w:val="2"/>
          <w:sz w:val="32"/>
          <w:szCs w:val="32"/>
          <w:lang w:val="en-US" w:eastAsia="zh-CN" w:bidi="ar-SA"/>
        </w:rPr>
        <w:t>（类）</w:t>
      </w:r>
      <w:r>
        <w:rPr>
          <w:rFonts w:hint="eastAsia" w:ascii="仿宋" w:hAnsi="仿宋" w:eastAsia="仿宋" w:cs="Times New Roman"/>
          <w:color w:val="000000"/>
          <w:kern w:val="2"/>
          <w:sz w:val="32"/>
          <w:szCs w:val="32"/>
          <w:lang w:val="en-US" w:eastAsia="zh-CN" w:bidi="ar-SA"/>
        </w:rPr>
        <w:t>其他卫生健康支出</w:t>
      </w:r>
      <w:r>
        <w:rPr>
          <w:rFonts w:hint="default" w:ascii="仿宋" w:hAnsi="仿宋" w:eastAsia="仿宋" w:cs="Times New Roman"/>
          <w:color w:val="000000"/>
          <w:kern w:val="2"/>
          <w:sz w:val="32"/>
          <w:szCs w:val="32"/>
          <w:lang w:val="en-US" w:eastAsia="zh-CN" w:bidi="ar-SA"/>
        </w:rPr>
        <w:t>（款）</w:t>
      </w:r>
      <w:r>
        <w:rPr>
          <w:rFonts w:hint="eastAsia" w:ascii="仿宋" w:hAnsi="仿宋" w:eastAsia="仿宋" w:cs="Times New Roman"/>
          <w:color w:val="000000"/>
          <w:kern w:val="2"/>
          <w:sz w:val="32"/>
          <w:szCs w:val="32"/>
          <w:lang w:val="en-US" w:eastAsia="zh-CN" w:bidi="ar-SA"/>
        </w:rPr>
        <w:t>其他卫生健康支出</w:t>
      </w:r>
      <w:r>
        <w:rPr>
          <w:rFonts w:hint="default" w:ascii="仿宋" w:hAnsi="仿宋" w:eastAsia="仿宋" w:cs="Times New Roman"/>
          <w:color w:val="000000"/>
          <w:kern w:val="2"/>
          <w:sz w:val="32"/>
          <w:szCs w:val="32"/>
          <w:lang w:val="en-US" w:eastAsia="zh-CN" w:bidi="ar-SA"/>
        </w:rPr>
        <w:t>（项）：指反映</w:t>
      </w:r>
      <w:r>
        <w:rPr>
          <w:rFonts w:hint="eastAsia" w:ascii="仿宋" w:hAnsi="仿宋" w:eastAsia="仿宋" w:cs="Times New Roman"/>
          <w:color w:val="000000"/>
          <w:kern w:val="2"/>
          <w:sz w:val="32"/>
          <w:szCs w:val="32"/>
          <w:lang w:val="en-US" w:eastAsia="zh-CN" w:bidi="ar-SA"/>
        </w:rPr>
        <w:t>除上述项目以外其他用于卫生健康方面的支出</w:t>
      </w:r>
      <w:r>
        <w:rPr>
          <w:rFonts w:hint="default" w:ascii="仿宋" w:hAnsi="仿宋" w:eastAsia="仿宋" w:cs="Times New Roman"/>
          <w:color w:val="000000"/>
          <w:kern w:val="2"/>
          <w:sz w:val="32"/>
          <w:szCs w:val="32"/>
          <w:lang w:val="en-US" w:eastAsia="zh-CN" w:bidi="ar-SA"/>
        </w:rPr>
        <w:t>。</w:t>
      </w:r>
    </w:p>
    <w:p>
      <w:pPr>
        <w:pStyle w:val="25"/>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35</w:t>
      </w:r>
      <w:r>
        <w:rPr>
          <w:rFonts w:hint="default" w:ascii="仿宋" w:hAnsi="仿宋" w:eastAsia="仿宋" w:cs="Times New Roman"/>
          <w:color w:val="000000"/>
          <w:kern w:val="2"/>
          <w:sz w:val="32"/>
          <w:szCs w:val="32"/>
          <w:lang w:val="en-US" w:eastAsia="zh-CN" w:bidi="ar-SA"/>
        </w:rPr>
        <w:t>.</w:t>
      </w:r>
      <w:r>
        <w:rPr>
          <w:rFonts w:hint="eastAsia" w:ascii="仿宋" w:hAnsi="仿宋" w:eastAsia="仿宋" w:cs="Times New Roman"/>
          <w:color w:val="000000"/>
          <w:kern w:val="2"/>
          <w:sz w:val="32"/>
          <w:szCs w:val="32"/>
          <w:lang w:val="en-US" w:eastAsia="zh-CN" w:bidi="ar-SA"/>
        </w:rPr>
        <w:t>住房保障支出</w:t>
      </w:r>
      <w:r>
        <w:rPr>
          <w:rFonts w:hint="default" w:ascii="仿宋" w:hAnsi="仿宋" w:eastAsia="仿宋" w:cs="Times New Roman"/>
          <w:color w:val="000000"/>
          <w:kern w:val="2"/>
          <w:sz w:val="32"/>
          <w:szCs w:val="32"/>
          <w:lang w:val="en-US" w:eastAsia="zh-CN" w:bidi="ar-SA"/>
        </w:rPr>
        <w:t>（类）</w:t>
      </w:r>
      <w:r>
        <w:rPr>
          <w:rFonts w:hint="eastAsia" w:ascii="仿宋" w:hAnsi="仿宋" w:eastAsia="仿宋" w:cs="Times New Roman"/>
          <w:color w:val="000000"/>
          <w:kern w:val="2"/>
          <w:sz w:val="32"/>
          <w:szCs w:val="32"/>
          <w:lang w:val="en-US" w:eastAsia="zh-CN" w:bidi="ar-SA"/>
        </w:rPr>
        <w:t>住房改革支出</w:t>
      </w:r>
      <w:r>
        <w:rPr>
          <w:rFonts w:hint="default" w:ascii="仿宋" w:hAnsi="仿宋" w:eastAsia="仿宋" w:cs="Times New Roman"/>
          <w:color w:val="000000"/>
          <w:kern w:val="2"/>
          <w:sz w:val="32"/>
          <w:szCs w:val="32"/>
          <w:lang w:val="en-US" w:eastAsia="zh-CN" w:bidi="ar-SA"/>
        </w:rPr>
        <w:t>（款）</w:t>
      </w:r>
      <w:r>
        <w:rPr>
          <w:rFonts w:hint="eastAsia" w:ascii="仿宋" w:hAnsi="仿宋" w:eastAsia="仿宋" w:cs="Times New Roman"/>
          <w:color w:val="000000"/>
          <w:kern w:val="2"/>
          <w:sz w:val="32"/>
          <w:szCs w:val="32"/>
          <w:lang w:val="en-US" w:eastAsia="zh-CN" w:bidi="ar-SA"/>
        </w:rPr>
        <w:t>住房公积金</w:t>
      </w:r>
      <w:r>
        <w:rPr>
          <w:rFonts w:hint="default" w:ascii="仿宋" w:hAnsi="仿宋" w:eastAsia="仿宋" w:cs="Times New Roman"/>
          <w:color w:val="000000"/>
          <w:kern w:val="2"/>
          <w:sz w:val="32"/>
          <w:szCs w:val="32"/>
          <w:lang w:val="en-US" w:eastAsia="zh-CN" w:bidi="ar-SA"/>
        </w:rPr>
        <w:t>（项）：指反映</w:t>
      </w:r>
      <w:r>
        <w:rPr>
          <w:rFonts w:hint="eastAsia" w:ascii="仿宋" w:hAnsi="仿宋" w:eastAsia="仿宋" w:cs="Times New Roman"/>
          <w:color w:val="000000"/>
          <w:kern w:val="2"/>
          <w:sz w:val="32"/>
          <w:szCs w:val="32"/>
          <w:lang w:val="en-US" w:eastAsia="zh-CN" w:bidi="ar-SA"/>
        </w:rPr>
        <w:t>行政事业单位按人力资源何社会保障部、财政部规定的基本工资和津贴补贴以及规定比例为职工缴纳的住房公积金</w:t>
      </w:r>
      <w:r>
        <w:rPr>
          <w:rFonts w:hint="default" w:ascii="仿宋" w:hAnsi="仿宋" w:eastAsia="仿宋" w:cs="Times New Roman"/>
          <w:color w:val="000000"/>
          <w:kern w:val="2"/>
          <w:sz w:val="32"/>
          <w:szCs w:val="32"/>
          <w:lang w:val="en-US" w:eastAsia="zh-CN" w:bidi="ar-SA"/>
        </w:rPr>
        <w:t>。</w:t>
      </w:r>
    </w:p>
    <w:p>
      <w:pPr>
        <w:ind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36.基本支出：指为保障机构正常运转、完成日常工作任务而发生的人员支出和公用支出。</w:t>
      </w:r>
    </w:p>
    <w:p>
      <w:pPr>
        <w:ind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 xml:space="preserve">37.项目支出：指在基本支出之外为完成特定行政任务和事业发展目标所发生的支出。 </w:t>
      </w:r>
    </w:p>
    <w:p>
      <w:pPr>
        <w:ind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38.经营支出：指事业单位在专业业务活动及其辅助活动之外开展非独立核算经营活动发生的支出。</w:t>
      </w:r>
    </w:p>
    <w:p>
      <w:pPr>
        <w:pStyle w:val="25"/>
        <w:spacing w:line="560" w:lineRule="exact"/>
        <w:ind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39.“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40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7"/>
          <w:rFonts w:ascii="黑体" w:hAnsi="黑体" w:eastAsia="黑体"/>
          <w:b w:val="0"/>
        </w:rPr>
      </w:pPr>
      <w:bookmarkStart w:id="61" w:name="_Toc15377226"/>
      <w:r>
        <w:rPr>
          <w:rFonts w:ascii="宋体"/>
          <w:b/>
          <w:color w:val="000000"/>
          <w:sz w:val="44"/>
          <w:szCs w:val="44"/>
        </w:rPr>
        <w:br w:type="page"/>
      </w:r>
      <w:bookmarkStart w:id="62" w:name="_Toc15396614"/>
      <w:r>
        <w:rPr>
          <w:rFonts w:hint="eastAsia" w:ascii="黑体" w:hAnsi="黑体" w:eastAsia="黑体"/>
          <w:color w:val="000000"/>
          <w:sz w:val="44"/>
          <w:szCs w:val="44"/>
        </w:rPr>
        <w:t>第</w:t>
      </w:r>
      <w:r>
        <w:rPr>
          <w:rStyle w:val="27"/>
          <w:rFonts w:hint="eastAsia" w:ascii="黑体" w:hAnsi="黑体" w:eastAsia="黑体"/>
          <w:b w:val="0"/>
        </w:rPr>
        <w:t>四部分 附件</w:t>
      </w:r>
      <w:bookmarkEnd w:id="62"/>
    </w:p>
    <w:p>
      <w:pPr>
        <w:spacing w:line="600" w:lineRule="exact"/>
        <w:jc w:val="center"/>
        <w:outlineLvl w:val="0"/>
        <w:rPr>
          <w:rStyle w:val="27"/>
        </w:rPr>
      </w:pPr>
    </w:p>
    <w:p>
      <w:pPr>
        <w:pStyle w:val="3"/>
        <w:rPr>
          <w:rStyle w:val="27"/>
          <w:rFonts w:ascii="仿宋" w:hAnsi="仿宋" w:eastAsia="仿宋"/>
          <w:b w:val="0"/>
          <w:bCs w:val="0"/>
          <w:sz w:val="32"/>
          <w:szCs w:val="32"/>
        </w:rPr>
      </w:pPr>
      <w:bookmarkStart w:id="63" w:name="_Toc15396615"/>
      <w:r>
        <w:rPr>
          <w:rStyle w:val="27"/>
          <w:rFonts w:hint="eastAsia" w:ascii="仿宋" w:hAnsi="仿宋" w:eastAsia="仿宋"/>
          <w:b w:val="0"/>
          <w:bCs w:val="0"/>
          <w:sz w:val="32"/>
          <w:szCs w:val="32"/>
        </w:rPr>
        <w:t>附件1</w:t>
      </w:r>
      <w:bookmarkEnd w:id="63"/>
    </w:p>
    <w:p>
      <w:pPr>
        <w:spacing w:line="360" w:lineRule="auto"/>
        <w:jc w:val="center"/>
        <w:outlineLvl w:val="0"/>
        <w:rPr>
          <w:rFonts w:hint="eastAsia" w:ascii="宋体" w:hAnsi="宋体" w:eastAsia="宋体" w:cs="宋体"/>
          <w:b/>
          <w:bCs/>
          <w:sz w:val="44"/>
          <w:szCs w:val="44"/>
          <w:lang w:eastAsia="zh-CN"/>
        </w:rPr>
      </w:pPr>
      <w:bookmarkStart w:id="64" w:name="_Toc15396616"/>
      <w:bookmarkStart w:id="65" w:name="_Toc15396617"/>
      <w:r>
        <w:rPr>
          <w:rFonts w:hint="eastAsia" w:ascii="宋体" w:hAnsi="宋体" w:eastAsia="宋体" w:cs="宋体"/>
          <w:b/>
          <w:bCs/>
          <w:sz w:val="44"/>
          <w:szCs w:val="44"/>
          <w:lang w:eastAsia="zh-CN"/>
        </w:rPr>
        <w:t>2019年度乐山职业技术学院</w:t>
      </w:r>
    </w:p>
    <w:p>
      <w:pPr>
        <w:spacing w:line="360" w:lineRule="auto"/>
        <w:jc w:val="center"/>
        <w:outlineLvl w:val="0"/>
        <w:rPr>
          <w:rFonts w:hint="eastAsia" w:ascii="宋体" w:hAnsi="宋体" w:eastAsia="宋体" w:cs="宋体"/>
          <w:b/>
          <w:bCs/>
          <w:sz w:val="44"/>
          <w:szCs w:val="44"/>
          <w:lang w:eastAsia="zh-CN"/>
        </w:rPr>
      </w:pPr>
      <w:r>
        <w:rPr>
          <w:rFonts w:hint="eastAsia" w:ascii="宋体" w:hAnsi="宋体" w:eastAsia="宋体" w:cs="宋体"/>
          <w:b/>
          <w:bCs/>
          <w:sz w:val="44"/>
          <w:szCs w:val="44"/>
          <w:lang w:eastAsia="zh-CN"/>
        </w:rPr>
        <w:t>整体支出绩效评价报告</w:t>
      </w:r>
    </w:p>
    <w:bookmarkEnd w:id="64"/>
    <w:p>
      <w:pPr>
        <w:spacing w:line="580" w:lineRule="exact"/>
        <w:ind w:firstLine="640" w:firstLineChars="200"/>
        <w:rPr>
          <w:rFonts w:ascii="黑体" w:hAnsi="黑体" w:eastAsia="黑体" w:cs="黑体"/>
          <w:sz w:val="32"/>
          <w:szCs w:val="32"/>
        </w:rPr>
      </w:pPr>
    </w:p>
    <w:p>
      <w:pPr>
        <w:spacing w:line="360" w:lineRule="auto"/>
        <w:ind w:firstLine="640" w:firstLineChars="200"/>
        <w:rPr>
          <w:rFonts w:hint="eastAsia" w:ascii="黑体" w:hAnsi="黑体" w:eastAsia="黑体" w:cs="黑体"/>
          <w:sz w:val="32"/>
          <w:szCs w:val="32"/>
          <w:lang w:val="zh-CN"/>
        </w:rPr>
      </w:pPr>
      <w:r>
        <w:rPr>
          <w:rFonts w:hint="eastAsia" w:ascii="黑体" w:hAnsi="黑体" w:eastAsia="黑体" w:cs="黑体"/>
          <w:sz w:val="32"/>
          <w:szCs w:val="32"/>
          <w:lang w:val="zh-CN"/>
        </w:rPr>
        <w:t>一、部门概况</w:t>
      </w:r>
    </w:p>
    <w:p>
      <w:pPr>
        <w:spacing w:line="360" w:lineRule="auto"/>
        <w:ind w:firstLine="640" w:firstLineChars="200"/>
        <w:rPr>
          <w:rFonts w:hint="eastAsia" w:ascii="仿宋" w:hAnsi="仿宋" w:eastAsia="仿宋" w:cs="仿宋_GB2312"/>
          <w:sz w:val="32"/>
          <w:szCs w:val="32"/>
        </w:rPr>
      </w:pPr>
      <w:r>
        <w:rPr>
          <w:rFonts w:hint="eastAsia" w:ascii="仿宋" w:hAnsi="仿宋" w:eastAsia="仿宋" w:cs="仿宋_GB2312"/>
          <w:sz w:val="32"/>
          <w:szCs w:val="32"/>
          <w:lang w:eastAsia="zh-CN"/>
        </w:rPr>
        <w:t>（一）</w:t>
      </w:r>
      <w:r>
        <w:rPr>
          <w:rFonts w:hint="eastAsia" w:ascii="仿宋" w:hAnsi="仿宋" w:eastAsia="仿宋" w:cs="仿宋_GB2312"/>
          <w:sz w:val="32"/>
          <w:szCs w:val="32"/>
        </w:rPr>
        <w:t>机构组成</w:t>
      </w:r>
    </w:p>
    <w:p>
      <w:pPr>
        <w:pStyle w:val="5"/>
        <w:adjustRightInd w:val="0"/>
        <w:snapToGrid w:val="0"/>
        <w:spacing w:before="93" w:line="600" w:lineRule="exact"/>
        <w:ind w:firstLine="672" w:firstLineChars="210"/>
        <w:rPr>
          <w:rFonts w:hint="eastAsia" w:ascii="仿宋_GB2312" w:hAnsi="Calibri" w:eastAsia="仿宋_GB2312" w:cs="仿宋"/>
          <w:color w:val="000000"/>
          <w:kern w:val="0"/>
          <w:sz w:val="32"/>
          <w:szCs w:val="32"/>
          <w:lang w:val="en-US" w:eastAsia="zh-CN" w:bidi="ar-SA"/>
        </w:rPr>
      </w:pPr>
      <w:r>
        <w:rPr>
          <w:rFonts w:hint="eastAsia" w:ascii="仿宋" w:hAnsi="仿宋" w:eastAsia="仿宋" w:cs="仿宋_GB2312"/>
          <w:sz w:val="32"/>
          <w:szCs w:val="32"/>
          <w:lang w:val="en-US" w:eastAsia="zh-CN"/>
        </w:rPr>
        <w:t>乐山职业技术学院设有新能源工程系、财经管理系、旅游系、艺术设计系、机电工程系、电子信息工程系、护理系、医学系、药学系、体育系和基础公共课程部。开设文科、理科和工科所属专</w:t>
      </w:r>
      <w:r>
        <w:rPr>
          <w:rFonts w:hint="eastAsia" w:ascii="仿宋" w:hAnsi="仿宋" w:eastAsia="仿宋" w:cs="仿宋_GB2312"/>
          <w:sz w:val="32"/>
          <w:szCs w:val="32"/>
          <w:highlight w:val="none"/>
          <w:lang w:val="en-US" w:eastAsia="zh-CN"/>
        </w:rPr>
        <w:t>业46个</w:t>
      </w:r>
      <w:r>
        <w:rPr>
          <w:rFonts w:hint="eastAsia" w:ascii="仿宋" w:hAnsi="仿宋" w:eastAsia="仿宋" w:cs="仿宋_GB2312"/>
          <w:sz w:val="32"/>
          <w:szCs w:val="32"/>
          <w:lang w:val="en-US" w:eastAsia="zh-CN"/>
        </w:rPr>
        <w:t>。学院</w:t>
      </w:r>
      <w:r>
        <w:rPr>
          <w:rFonts w:hint="eastAsia" w:ascii="仿宋" w:hAnsi="仿宋" w:eastAsia="仿宋"/>
          <w:sz w:val="32"/>
          <w:szCs w:val="32"/>
        </w:rPr>
        <w:t>下属二级单位</w:t>
      </w:r>
      <w:r>
        <w:rPr>
          <w:rFonts w:hint="eastAsia" w:ascii="仿宋" w:hAnsi="仿宋" w:eastAsia="仿宋"/>
          <w:sz w:val="32"/>
          <w:szCs w:val="32"/>
          <w:lang w:val="en-US" w:eastAsia="zh-CN"/>
        </w:rPr>
        <w:t>2</w:t>
      </w:r>
      <w:r>
        <w:rPr>
          <w:rFonts w:hint="eastAsia" w:ascii="仿宋" w:hAnsi="仿宋" w:eastAsia="仿宋"/>
          <w:sz w:val="32"/>
          <w:szCs w:val="32"/>
        </w:rPr>
        <w:t>个，</w:t>
      </w:r>
      <w:r>
        <w:rPr>
          <w:rFonts w:hint="eastAsia" w:ascii="仿宋" w:hAnsi="仿宋" w:eastAsia="仿宋"/>
          <w:color w:val="000000"/>
          <w:sz w:val="32"/>
          <w:szCs w:val="32"/>
        </w:rPr>
        <w:t>纳入</w:t>
      </w:r>
      <w:r>
        <w:rPr>
          <w:rFonts w:hint="eastAsia" w:ascii="仿宋" w:hAnsi="仿宋" w:eastAsia="仿宋"/>
          <w:color w:val="000000"/>
          <w:sz w:val="32"/>
          <w:szCs w:val="32"/>
          <w:lang w:eastAsia="zh-CN"/>
        </w:rPr>
        <w:t>乐山职业技术学院</w:t>
      </w: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年度部门决算编制范围的二级预算单位包括：</w:t>
      </w:r>
      <w:r>
        <w:rPr>
          <w:rFonts w:hint="eastAsia" w:ascii="仿宋" w:hAnsi="仿宋" w:eastAsia="仿宋"/>
          <w:sz w:val="32"/>
          <w:szCs w:val="32"/>
        </w:rPr>
        <w:t>乐山职业技术学院附属医院</w:t>
      </w:r>
      <w:r>
        <w:rPr>
          <w:rFonts w:hint="eastAsia" w:ascii="仿宋" w:hAnsi="仿宋" w:eastAsia="仿宋"/>
          <w:sz w:val="32"/>
          <w:szCs w:val="32"/>
          <w:lang w:eastAsia="zh-CN"/>
        </w:rPr>
        <w:t>、</w:t>
      </w:r>
      <w:r>
        <w:rPr>
          <w:rFonts w:hint="eastAsia" w:ascii="仿宋" w:hAnsi="仿宋" w:eastAsia="仿宋"/>
          <w:color w:val="000000"/>
          <w:sz w:val="32"/>
          <w:szCs w:val="32"/>
          <w:lang w:eastAsia="zh-CN"/>
        </w:rPr>
        <w:t>四川省乐山市奥林匹克学校。</w:t>
      </w:r>
    </w:p>
    <w:p>
      <w:pPr>
        <w:spacing w:line="360" w:lineRule="auto"/>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（二）机构职能</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学院的基本职能是人才培养、科学研究、社会服务、文化传承与创新。</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（三）人员概况。</w:t>
      </w:r>
    </w:p>
    <w:p>
      <w:pPr>
        <w:spacing w:line="360" w:lineRule="auto"/>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截止2019年12月31日，学院年末实有人数811人。人员构成情况：在职人员686人，长期聘用人员124人，离休人员2人。在校全日制学生近1.61万人。</w:t>
      </w:r>
    </w:p>
    <w:p>
      <w:pPr>
        <w:spacing w:line="360" w:lineRule="auto"/>
        <w:ind w:firstLine="640" w:firstLineChars="200"/>
        <w:rPr>
          <w:rFonts w:hint="eastAsia" w:ascii="黑体" w:hAnsi="黑体" w:eastAsia="黑体" w:cs="黑体"/>
          <w:sz w:val="32"/>
          <w:szCs w:val="32"/>
          <w:lang w:val="zh-CN"/>
        </w:rPr>
      </w:pPr>
      <w:r>
        <w:rPr>
          <w:rFonts w:hint="eastAsia" w:ascii="黑体" w:hAnsi="黑体" w:eastAsia="黑体" w:cs="黑体"/>
          <w:sz w:val="32"/>
          <w:szCs w:val="32"/>
          <w:lang w:val="zh-CN"/>
        </w:rPr>
        <w:t>二、部门财政资金收支情况</w:t>
      </w:r>
    </w:p>
    <w:p>
      <w:pPr>
        <w:spacing w:line="360" w:lineRule="auto"/>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（一）部门财政资金收入情况</w:t>
      </w:r>
    </w:p>
    <w:p>
      <w:pPr>
        <w:spacing w:line="600" w:lineRule="exact"/>
        <w:ind w:firstLine="640" w:firstLineChars="200"/>
        <w:outlineLvl w:val="1"/>
        <w:rPr>
          <w:rFonts w:hint="eastAsia" w:ascii="仿宋" w:hAnsi="仿宋" w:eastAsia="仿宋"/>
          <w:color w:val="000000"/>
          <w:sz w:val="32"/>
          <w:szCs w:val="32"/>
        </w:rPr>
      </w:pPr>
      <w:r>
        <w:rPr>
          <w:rFonts w:hint="eastAsia" w:ascii="仿宋" w:hAnsi="仿宋" w:eastAsia="仿宋" w:cs="仿宋_GB2312"/>
          <w:sz w:val="32"/>
          <w:szCs w:val="32"/>
          <w:lang w:val="en-US" w:eastAsia="zh-CN"/>
        </w:rPr>
        <w:t>2019年学院收入决算总额为</w:t>
      </w:r>
      <w:r>
        <w:rPr>
          <w:rFonts w:hint="eastAsia" w:ascii="仿宋" w:hAnsi="仿宋" w:eastAsia="仿宋"/>
          <w:color w:val="000000"/>
          <w:sz w:val="32"/>
          <w:szCs w:val="32"/>
          <w:lang w:val="en-US" w:eastAsia="zh-CN"/>
        </w:rPr>
        <w:t>34367</w:t>
      </w:r>
      <w:r>
        <w:rPr>
          <w:rFonts w:hint="eastAsia" w:ascii="仿宋" w:hAnsi="仿宋" w:eastAsia="仿宋"/>
          <w:color w:val="000000"/>
          <w:sz w:val="32"/>
          <w:szCs w:val="32"/>
        </w:rPr>
        <w:t>万元</w:t>
      </w:r>
      <w:r>
        <w:rPr>
          <w:rFonts w:hint="eastAsia" w:ascii="仿宋" w:hAnsi="仿宋" w:eastAsia="仿宋" w:cs="仿宋_GB2312"/>
          <w:sz w:val="32"/>
          <w:szCs w:val="32"/>
          <w:lang w:val="en-US" w:eastAsia="zh-CN"/>
        </w:rPr>
        <w:t>，其中：</w:t>
      </w:r>
      <w:r>
        <w:rPr>
          <w:rFonts w:hint="eastAsia" w:ascii="仿宋" w:hAnsi="仿宋" w:eastAsia="仿宋"/>
          <w:color w:val="000000"/>
          <w:sz w:val="32"/>
          <w:szCs w:val="32"/>
        </w:rPr>
        <w:t>一般公共预算财政拨款收入</w:t>
      </w:r>
      <w:r>
        <w:rPr>
          <w:rFonts w:hint="eastAsia" w:ascii="仿宋" w:hAnsi="仿宋" w:eastAsia="仿宋"/>
          <w:color w:val="000000"/>
          <w:sz w:val="32"/>
          <w:szCs w:val="32"/>
          <w:lang w:val="en-US" w:eastAsia="zh-CN"/>
        </w:rPr>
        <w:t>22021.85</w:t>
      </w:r>
      <w:r>
        <w:rPr>
          <w:rFonts w:hint="eastAsia" w:ascii="仿宋" w:hAnsi="仿宋" w:eastAsia="仿宋"/>
          <w:color w:val="000000"/>
          <w:sz w:val="32"/>
          <w:szCs w:val="32"/>
        </w:rPr>
        <w:t>万元；政府性基金预算财政拨款收入</w:t>
      </w:r>
      <w:r>
        <w:rPr>
          <w:rFonts w:hint="eastAsia" w:ascii="仿宋" w:hAnsi="仿宋" w:eastAsia="仿宋"/>
          <w:color w:val="000000"/>
          <w:sz w:val="32"/>
          <w:szCs w:val="32"/>
          <w:lang w:val="en-US" w:eastAsia="zh-CN"/>
        </w:rPr>
        <w:t>1895.05</w:t>
      </w:r>
      <w:r>
        <w:rPr>
          <w:rFonts w:hint="eastAsia" w:ascii="仿宋" w:hAnsi="仿宋" w:eastAsia="仿宋"/>
          <w:color w:val="000000"/>
          <w:sz w:val="32"/>
          <w:szCs w:val="32"/>
        </w:rPr>
        <w:t>万元；事业收入</w:t>
      </w:r>
      <w:r>
        <w:rPr>
          <w:rFonts w:hint="eastAsia" w:ascii="仿宋" w:hAnsi="仿宋" w:eastAsia="仿宋"/>
          <w:color w:val="000000"/>
          <w:sz w:val="32"/>
          <w:szCs w:val="32"/>
          <w:lang w:val="en-US" w:eastAsia="zh-CN"/>
        </w:rPr>
        <w:t>9527.84</w:t>
      </w:r>
      <w:r>
        <w:rPr>
          <w:rFonts w:hint="eastAsia" w:ascii="仿宋" w:hAnsi="仿宋" w:eastAsia="仿宋"/>
          <w:color w:val="000000"/>
          <w:sz w:val="32"/>
          <w:szCs w:val="32"/>
        </w:rPr>
        <w:t>万元；其他收入</w:t>
      </w:r>
      <w:r>
        <w:rPr>
          <w:rFonts w:hint="eastAsia" w:ascii="仿宋" w:hAnsi="仿宋" w:eastAsia="仿宋"/>
          <w:color w:val="000000"/>
          <w:sz w:val="32"/>
          <w:szCs w:val="32"/>
          <w:lang w:val="en-US" w:eastAsia="zh-CN"/>
        </w:rPr>
        <w:t>922.26</w:t>
      </w:r>
      <w:r>
        <w:rPr>
          <w:rFonts w:hint="eastAsia" w:ascii="仿宋" w:hAnsi="仿宋" w:eastAsia="仿宋"/>
          <w:color w:val="000000"/>
          <w:sz w:val="32"/>
          <w:szCs w:val="32"/>
        </w:rPr>
        <w:t>万元。</w:t>
      </w:r>
    </w:p>
    <w:p>
      <w:pPr>
        <w:spacing w:line="360" w:lineRule="auto"/>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（二）部门财政资金支出情况</w:t>
      </w:r>
    </w:p>
    <w:p>
      <w:pPr>
        <w:spacing w:line="600" w:lineRule="exact"/>
        <w:ind w:firstLine="640"/>
        <w:rPr>
          <w:rFonts w:hint="eastAsia" w:ascii="仿宋" w:hAnsi="仿宋" w:eastAsia="仿宋" w:cs="仿宋_GB2312"/>
          <w:kern w:val="2"/>
          <w:sz w:val="32"/>
          <w:szCs w:val="32"/>
          <w:lang w:val="zh-CN" w:eastAsia="zh-CN" w:bidi="ar-SA"/>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年本年支出合计37425.01万元，其中：基本支出11483.98万元；项目支出25941.03万元；上缴上级支出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spacing w:line="360" w:lineRule="auto"/>
        <w:ind w:firstLine="640" w:firstLineChars="200"/>
        <w:rPr>
          <w:rFonts w:hint="eastAsia" w:ascii="黑体" w:hAnsi="黑体" w:eastAsia="黑体" w:cs="黑体"/>
          <w:sz w:val="32"/>
          <w:szCs w:val="32"/>
          <w:lang w:val="zh-CN"/>
        </w:rPr>
      </w:pPr>
      <w:r>
        <w:rPr>
          <w:rFonts w:hint="eastAsia" w:ascii="黑体" w:hAnsi="黑体" w:eastAsia="黑体" w:cs="黑体"/>
          <w:sz w:val="32"/>
          <w:szCs w:val="32"/>
          <w:lang w:val="zh-CN"/>
        </w:rPr>
        <w:t>三、部门财政支出管理情况</w:t>
      </w:r>
    </w:p>
    <w:p>
      <w:pPr>
        <w:spacing w:line="360" w:lineRule="auto"/>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（一）预决算管理情况</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zh-CN" w:eastAsia="zh-CN"/>
        </w:rPr>
        <w:t>学院认真学习贯彻执行《预算法》，成立了预算编制工作领导小组，严格预算审批、监督预算执行。按照市级部门预算编制通知和有关要求，按时完成基础、项目库报送工作。按照《四川省财政厅、四川省教育厅关于建立我省公办高职院校生均拨款制度的实施意见》（川财教〔2015〕94号）要求，经上报市财政局批准同意，学院从2016年起实行财政生均拨款制度，2016年生均拨款标准为1万元，2017年及以后年度生均拨款标准为1.2万元，如遇国家和省生均拨款标准调整，则相应调整市级标准。每年按照学院当年秋季学期各专业学生人数、各专业拨款系数以及次年拨款标准计算次年度生均拨款，并列入次年度市级财政预算安排。预算编制</w:t>
      </w:r>
      <w:r>
        <w:rPr>
          <w:rFonts w:hint="eastAsia" w:ascii="仿宋" w:hAnsi="仿宋" w:eastAsia="仿宋" w:cs="仿宋_GB2312"/>
          <w:sz w:val="32"/>
          <w:szCs w:val="32"/>
          <w:lang w:val="en-US" w:eastAsia="zh-CN"/>
        </w:rPr>
        <w:t>体现了合法性、真实性、完整性、科学性及稳妥性原则。</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学院高度重视决算编制工作，按时参加决算编制培训会，认真学习决算报表各项目指标内涵，决算编制及时、准确、真实、完整；合理使用专项资金，专项预算提前细化，做到专款专用；结余结转按规定用途使用。</w:t>
      </w:r>
    </w:p>
    <w:p>
      <w:pPr>
        <w:numPr>
          <w:ilvl w:val="0"/>
          <w:numId w:val="7"/>
        </w:numPr>
        <w:spacing w:line="360" w:lineRule="auto"/>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执行管理情况</w:t>
      </w:r>
    </w:p>
    <w:p>
      <w:pPr>
        <w:spacing w:line="600" w:lineRule="exact"/>
        <w:ind w:firstLine="640" w:firstLineChars="200"/>
        <w:outlineLvl w:val="1"/>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2019年学院收入决算总额为</w:t>
      </w:r>
      <w:r>
        <w:rPr>
          <w:rFonts w:hint="eastAsia" w:ascii="仿宋" w:hAnsi="仿宋" w:eastAsia="仿宋"/>
          <w:color w:val="000000"/>
          <w:sz w:val="32"/>
          <w:szCs w:val="32"/>
          <w:lang w:val="en-US" w:eastAsia="zh-CN"/>
        </w:rPr>
        <w:t>34367</w:t>
      </w:r>
      <w:r>
        <w:rPr>
          <w:rFonts w:hint="eastAsia" w:ascii="仿宋" w:hAnsi="仿宋" w:eastAsia="仿宋"/>
          <w:color w:val="000000"/>
          <w:sz w:val="32"/>
          <w:szCs w:val="32"/>
        </w:rPr>
        <w:t>万元</w:t>
      </w:r>
      <w:r>
        <w:rPr>
          <w:rFonts w:hint="eastAsia" w:ascii="仿宋" w:hAnsi="仿宋" w:eastAsia="仿宋" w:cs="仿宋_GB2312"/>
          <w:sz w:val="32"/>
          <w:szCs w:val="32"/>
          <w:lang w:val="en-US" w:eastAsia="zh-CN"/>
        </w:rPr>
        <w:t>，其中：</w:t>
      </w:r>
      <w:r>
        <w:rPr>
          <w:rFonts w:hint="eastAsia" w:ascii="仿宋" w:hAnsi="仿宋" w:eastAsia="仿宋"/>
          <w:color w:val="000000"/>
          <w:sz w:val="32"/>
          <w:szCs w:val="32"/>
        </w:rPr>
        <w:t>一般公共预算财政拨款收入</w:t>
      </w:r>
      <w:r>
        <w:rPr>
          <w:rFonts w:hint="eastAsia" w:ascii="仿宋" w:hAnsi="仿宋" w:eastAsia="仿宋"/>
          <w:color w:val="000000"/>
          <w:sz w:val="32"/>
          <w:szCs w:val="32"/>
          <w:lang w:val="en-US" w:eastAsia="zh-CN"/>
        </w:rPr>
        <w:t>22021.85</w:t>
      </w:r>
      <w:r>
        <w:rPr>
          <w:rFonts w:hint="eastAsia" w:ascii="仿宋" w:hAnsi="仿宋" w:eastAsia="仿宋"/>
          <w:color w:val="000000"/>
          <w:sz w:val="32"/>
          <w:szCs w:val="32"/>
        </w:rPr>
        <w:t>万元；政府性基金预算财政拨款收入</w:t>
      </w:r>
      <w:r>
        <w:rPr>
          <w:rFonts w:hint="eastAsia" w:ascii="仿宋" w:hAnsi="仿宋" w:eastAsia="仿宋"/>
          <w:color w:val="000000"/>
          <w:sz w:val="32"/>
          <w:szCs w:val="32"/>
          <w:lang w:val="en-US" w:eastAsia="zh-CN"/>
        </w:rPr>
        <w:t>1895.05</w:t>
      </w:r>
      <w:r>
        <w:rPr>
          <w:rFonts w:hint="eastAsia" w:ascii="仿宋" w:hAnsi="仿宋" w:eastAsia="仿宋"/>
          <w:color w:val="000000"/>
          <w:sz w:val="32"/>
          <w:szCs w:val="32"/>
        </w:rPr>
        <w:t>万元；事业收入</w:t>
      </w:r>
      <w:r>
        <w:rPr>
          <w:rFonts w:hint="eastAsia" w:ascii="仿宋" w:hAnsi="仿宋" w:eastAsia="仿宋"/>
          <w:color w:val="000000"/>
          <w:sz w:val="32"/>
          <w:szCs w:val="32"/>
          <w:lang w:val="en-US" w:eastAsia="zh-CN"/>
        </w:rPr>
        <w:t>9527.84</w:t>
      </w:r>
      <w:r>
        <w:rPr>
          <w:rFonts w:hint="eastAsia" w:ascii="仿宋" w:hAnsi="仿宋" w:eastAsia="仿宋"/>
          <w:color w:val="000000"/>
          <w:sz w:val="32"/>
          <w:szCs w:val="32"/>
        </w:rPr>
        <w:t>万元；其他收入</w:t>
      </w:r>
      <w:r>
        <w:rPr>
          <w:rFonts w:hint="eastAsia" w:ascii="仿宋" w:hAnsi="仿宋" w:eastAsia="仿宋"/>
          <w:color w:val="000000"/>
          <w:sz w:val="32"/>
          <w:szCs w:val="32"/>
          <w:lang w:val="en-US" w:eastAsia="zh-CN"/>
        </w:rPr>
        <w:t>922.26</w:t>
      </w:r>
      <w:r>
        <w:rPr>
          <w:rFonts w:hint="eastAsia" w:ascii="仿宋" w:hAnsi="仿宋" w:eastAsia="仿宋"/>
          <w:color w:val="000000"/>
          <w:sz w:val="32"/>
          <w:szCs w:val="32"/>
        </w:rPr>
        <w:t>万元。</w:t>
      </w:r>
      <w:r>
        <w:rPr>
          <w:rFonts w:hint="eastAsia" w:ascii="仿宋" w:hAnsi="仿宋" w:eastAsia="仿宋" w:cs="仿宋_GB2312"/>
          <w:sz w:val="32"/>
          <w:szCs w:val="32"/>
          <w:lang w:val="en-US" w:eastAsia="zh-CN"/>
        </w:rPr>
        <w:t>2019年学院支出决算总额为37425.01万元，其中：基本支出11483.98万元，项目支出25941.03万元。</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学院厉行节约，严格执行中央八项规定和省市十项规定，严控三公经费。2019年公务接待费</w:t>
      </w:r>
      <w:r>
        <w:rPr>
          <w:rFonts w:hint="eastAsia" w:ascii="仿宋" w:hAnsi="仿宋" w:eastAsia="仿宋"/>
          <w:color w:val="auto"/>
          <w:sz w:val="32"/>
          <w:szCs w:val="32"/>
          <w:lang w:val="en-US" w:eastAsia="zh-CN"/>
        </w:rPr>
        <w:t>1.51</w:t>
      </w:r>
      <w:r>
        <w:rPr>
          <w:rFonts w:hint="eastAsia" w:ascii="仿宋_GB2312" w:eastAsia="仿宋_GB2312"/>
          <w:color w:val="auto"/>
          <w:sz w:val="32"/>
          <w:szCs w:val="32"/>
        </w:rPr>
        <w:t>万元</w:t>
      </w:r>
      <w:r>
        <w:rPr>
          <w:rFonts w:hint="eastAsia" w:ascii="仿宋" w:hAnsi="仿宋" w:eastAsia="仿宋" w:cs="仿宋_GB2312"/>
          <w:sz w:val="32"/>
          <w:szCs w:val="32"/>
          <w:lang w:val="en-US" w:eastAsia="zh-CN"/>
        </w:rPr>
        <w:t>，主要用于接待同类院校教学科研交流、各类企业来院洽谈校企合作等交通费、住宿费、用餐费等；公务用车购置及运行维护费</w:t>
      </w:r>
      <w:r>
        <w:rPr>
          <w:rFonts w:hint="eastAsia" w:ascii="仿宋" w:hAnsi="仿宋" w:eastAsia="仿宋"/>
          <w:color w:val="000000"/>
          <w:sz w:val="32"/>
          <w:szCs w:val="32"/>
          <w:lang w:val="en-US" w:eastAsia="zh-CN"/>
        </w:rPr>
        <w:t>35.62</w:t>
      </w:r>
      <w:r>
        <w:rPr>
          <w:rFonts w:hint="eastAsia" w:ascii="仿宋_GB2312" w:eastAsia="仿宋_GB2312"/>
          <w:color w:val="000000"/>
          <w:sz w:val="32"/>
          <w:szCs w:val="32"/>
        </w:rPr>
        <w:t>万元</w:t>
      </w:r>
      <w:r>
        <w:rPr>
          <w:rFonts w:hint="eastAsia" w:ascii="仿宋" w:hAnsi="仿宋" w:eastAsia="仿宋" w:cs="仿宋_GB2312"/>
          <w:sz w:val="32"/>
          <w:szCs w:val="32"/>
          <w:lang w:val="en-US" w:eastAsia="zh-CN"/>
        </w:rPr>
        <w:t>,无车辆购置支出；因公出国（境）费用</w:t>
      </w:r>
      <w:r>
        <w:rPr>
          <w:rFonts w:hint="eastAsia" w:ascii="仿宋_GB2312" w:eastAsia="仿宋_GB2312"/>
          <w:color w:val="000000"/>
          <w:sz w:val="32"/>
          <w:szCs w:val="32"/>
          <w:lang w:val="en-US" w:eastAsia="zh-CN"/>
        </w:rPr>
        <w:t>16.41</w:t>
      </w:r>
      <w:r>
        <w:rPr>
          <w:rFonts w:hint="eastAsia" w:ascii="仿宋_GB2312" w:eastAsia="仿宋_GB2312"/>
          <w:color w:val="000000"/>
          <w:sz w:val="32"/>
          <w:szCs w:val="32"/>
        </w:rPr>
        <w:t>万元</w:t>
      </w:r>
      <w:r>
        <w:rPr>
          <w:rFonts w:hint="eastAsia" w:ascii="仿宋" w:hAnsi="仿宋" w:eastAsia="仿宋" w:cs="仿宋_GB2312"/>
          <w:sz w:val="32"/>
          <w:szCs w:val="32"/>
          <w:lang w:val="en-US" w:eastAsia="zh-CN"/>
        </w:rPr>
        <w:t>，主要用于</w:t>
      </w:r>
      <w:r>
        <w:rPr>
          <w:rFonts w:hint="eastAsia" w:ascii="仿宋_GB2312" w:hAnsi="仿宋" w:eastAsia="仿宋_GB2312" w:cs="仿宋"/>
          <w:sz w:val="32"/>
          <w:szCs w:val="32"/>
          <w:lang w:val="en-US" w:eastAsia="zh-CN"/>
        </w:rPr>
        <w:t>赴柬埔寨</w:t>
      </w:r>
      <w:r>
        <w:rPr>
          <w:rFonts w:hint="eastAsia" w:ascii="仿宋" w:hAnsi="仿宋" w:eastAsia="仿宋" w:cs="仿宋_GB2312"/>
          <w:sz w:val="32"/>
          <w:szCs w:val="32"/>
          <w:lang w:val="en-US" w:eastAsia="zh-CN"/>
        </w:rPr>
        <w:t>洽谈合作办学</w:t>
      </w:r>
      <w:r>
        <w:rPr>
          <w:rFonts w:hint="eastAsia" w:ascii="仿宋_GB2312" w:hAnsi="仿宋" w:eastAsia="仿宋_GB2312" w:cs="仿宋"/>
          <w:sz w:val="32"/>
          <w:szCs w:val="32"/>
          <w:lang w:val="en-US" w:eastAsia="zh-CN"/>
        </w:rPr>
        <w:t>、</w:t>
      </w:r>
      <w:r>
        <w:rPr>
          <w:rFonts w:hint="eastAsia" w:ascii="仿宋" w:hAnsi="仿宋" w:eastAsia="仿宋" w:cs="仿宋_GB2312"/>
          <w:sz w:val="32"/>
          <w:szCs w:val="32"/>
          <w:lang w:val="en-US" w:eastAsia="zh-CN"/>
        </w:rPr>
        <w:t>赴泰国等国进行教育考察、</w:t>
      </w:r>
      <w:r>
        <w:rPr>
          <w:rFonts w:hint="eastAsia" w:ascii="仿宋_GB2312" w:hAnsi="仿宋" w:eastAsia="仿宋_GB2312" w:cs="仿宋"/>
          <w:sz w:val="32"/>
          <w:szCs w:val="32"/>
          <w:lang w:val="en-US" w:eastAsia="zh-CN"/>
        </w:rPr>
        <w:t>赴赞比亚开展培训工作</w:t>
      </w:r>
      <w:r>
        <w:rPr>
          <w:rFonts w:hint="eastAsia" w:ascii="仿宋" w:hAnsi="仿宋" w:eastAsia="仿宋" w:cs="仿宋_GB2312"/>
          <w:sz w:val="32"/>
          <w:szCs w:val="32"/>
          <w:lang w:val="en-US" w:eastAsia="zh-CN"/>
        </w:rPr>
        <w:t>等差旅费。三公经费结转按规定由财政收回额度。</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2019年编制部门预算时应对预算项目的必要性、合理性、准确性及相关依据进行认真测评，根据学院财力状况，合理安排人员经费、基本运转和专项运转支出。强化财政支出责任及效率意识，树立“花钱必问效”的理念，将绩效目标设定及预算评审、绩效跟踪、绩效评价及结果应用纳入预算编制、执行、监督全过程，不断提高资金使用效益。</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（三）综合管理情况</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color w:val="auto"/>
          <w:sz w:val="32"/>
          <w:szCs w:val="32"/>
          <w:lang w:val="en-US" w:eastAsia="zh-CN"/>
        </w:rPr>
        <w:t>加强政府债务管理，截止2019年12月31日，学院因新校园建设分别向中国银行、交通银行、农发行借</w:t>
      </w:r>
      <w:r>
        <w:rPr>
          <w:rFonts w:hint="eastAsia" w:ascii="仿宋" w:hAnsi="仿宋" w:eastAsia="仿宋" w:cs="仿宋_GB2312"/>
          <w:color w:val="auto"/>
          <w:sz w:val="32"/>
          <w:szCs w:val="32"/>
          <w:highlight w:val="none"/>
          <w:lang w:val="en-US" w:eastAsia="zh-CN"/>
        </w:rPr>
        <w:t>款共计61391.08万元。</w:t>
      </w:r>
      <w:r>
        <w:rPr>
          <w:rFonts w:hint="eastAsia" w:ascii="仿宋" w:hAnsi="仿宋" w:eastAsia="仿宋" w:cs="仿宋_GB2312"/>
          <w:color w:val="auto"/>
          <w:sz w:val="32"/>
          <w:szCs w:val="32"/>
          <w:lang w:val="en-US" w:eastAsia="zh-CN"/>
        </w:rPr>
        <w:t>认真测算借款利息，按照借款合同编制利息支出预算，每季度及时通过国库直接支付利息</w:t>
      </w:r>
      <w:r>
        <w:rPr>
          <w:rFonts w:hint="eastAsia" w:ascii="仿宋" w:hAnsi="仿宋" w:eastAsia="仿宋" w:cs="仿宋_GB2312"/>
          <w:sz w:val="32"/>
          <w:szCs w:val="32"/>
          <w:lang w:val="en-US" w:eastAsia="zh-CN"/>
        </w:rPr>
        <w:t>，无违约现象。</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认真落实《四川省财政厅关于印发〈四川省非税收入管理实施办法〉的通知》（川财非［2017］7号）精神，严格按照规定的非税收入项目、征收范围和征收标准进行征收，及时足额解缴非税收入，做到“应收尽收、应缴尽缴”。全年实现非税收入7862.54万元。</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切实加强资产管理，积极探索预算编制与资产管理有机结合机制，促进资源配置合理化，提高资产使用效率。定期安排专人对学院资产进行全面清理登记，对固定资产进行盘点，认真编制年度财产清查报告，确保资产存量数据的真实、准确和完整。根据学院的实际需要，按照厉行节约、方便使用的原则做好新增资产配置计划编报工作。</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规范政府采购预算编制，严格按照采购法规定，将年度实施政府采购的项目及资金预算详尽列出，做到应编尽编。严格执行政府集中采购目录及采购限额标准，无超预算、超标准采购。</w:t>
      </w:r>
    </w:p>
    <w:p>
      <w:pPr>
        <w:numPr>
          <w:ilvl w:val="0"/>
          <w:numId w:val="0"/>
        </w:numPr>
        <w:spacing w:line="360" w:lineRule="auto"/>
        <w:ind w:left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（四）结果应用情况</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1.全面深化改革，提升内涵发展</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实施院系两级管理、人事制度及绩效分配、学分制改革、内部质量保证体系建设与运行、现代学徒制试点等体制机制改革，激发内生动力。成功立项省级体制机制改革试点项目，体制机制建设取得突破。</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2.健全运行机制，建设现代大学</w:t>
      </w:r>
    </w:p>
    <w:p>
      <w:pPr>
        <w:spacing w:line="24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深入贯彻落实高校党委领导下的校长负责制，构建与一流高职院校相适应的现代大学管理制度与运行机制。推进学院内部质量保证体系建设，建立诊改相关制度和运行机制，分阶段、试点推进教学诊断与改进工作。</w:t>
      </w:r>
    </w:p>
    <w:p>
      <w:pPr>
        <w:spacing w:line="240" w:lineRule="auto"/>
        <w:ind w:firstLine="0" w:firstLineChars="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 xml:space="preserve">    3.完善教学管理，提升教学质量</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以省优质院校建设为载体，深化产教融合、校企合作，推进重大教学项目建设，强化教学常规管理。教育部认定我院“医学临床生产性实训基地”为国家级生产性实训基地，认定护理、硅材料制备技术、移动通信技术3个专业为骨干专业，光伏材料制备技术“双师型”教师培养培训基地（国家级）成功获批。“护理专业教学团队”确定为国家级教师教学创新团队建设项目。获批四川省高等教育人才培养质量和教学改革重点项目1项，一般项目3项。中药技术技能传承创新平台确定为四川省紧缺领域教师技艺技能传承创新平台。22019年新申报口腔医学、智能控制2个专业。</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4.落实立德树人，提高培养质量</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围绕提高人才培养质量工作目标，着力思想引领、学风建设、养成教育、素质拓展，学生工作取得了良好成效。促进学生全面发展，科学评价测评学生综合素质。加强诚信教育和纪律教育，学风建设形成合力，学风转变明显。丰富校园文化生活，变脸、峨眉莲箫、井研农民画、祭孔仪式、腰鼓等优秀传统文化进校园初见成效。奖勤助贷工作公正公开，全院贫困生认定5500余人，评审出10名国家奖学金、307名国家励志奖学金、4500余名国家助学金。2019级新生心理测试参测率达100%，妥善处置心理危机81人。</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5.创新人才发展，建设高水平师资</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积极推进人事制度改革和绩效分配制度改革，努力调动广大教职工干事创业主动性和积极性。建立和完善人才政策体系，深入实施“青江学者计划”。多渠道、多形式组织师德师风教育，不断完善师德建设长效机制。积极响应省教厅“为教师亮灯”公益号召，在全院营造良好的尊师重教氛围。</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6.坚持“实用”科研，促进科技创新</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坚持应用型科研导向，围绕优质院校建设，搭建平台，整合资源，服务地方，学院整体科研创新能力稳步提升。</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7.深化国际合作交流，服务对外开放大局</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学院国际合作交流工作取得长足发展，学院国际影响力不断提升。今年招收外国来华留学生96名（含收费学生24名），目前在校国际学生总数180名。</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8.紧跟招生改革步伐，提升“双创”工作</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以服务促管理，以服务促就业，切实做好招生、毕业生就业和大学生创新创业工作。超额完成学院招生目标任务，圆满完成上级下达的扩招任务。规范管理大学生创新训练项目，创建创新创业导师库。积极组织学生参加各类创新创业比赛。全年开展创新创业讲座8次，创业分享、沙龙活动32次，孵化优秀项目58项，25支创业团队分别获得1万元创业补贴，累积带动学生创业就业174人。</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9.加强继续教育工作，提升区域影响力</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学院分别与乐山市沙湾区、甘孜州炉霍县共建乡村振兴学院，院地共建助力乡村振兴人才发展，培养实用技术技能人才600余人次。学院入选教育部首批“1+X”证书制度试点学院，成功申报10个职业技能证书试点，成功申报“国家卫生健康委人才交流服务中心卫生专业技术资格人机对话考试机构”。</w:t>
      </w:r>
    </w:p>
    <w:p>
      <w:pPr>
        <w:spacing w:line="360" w:lineRule="auto"/>
        <w:ind w:firstLine="640" w:firstLineChars="200"/>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评价结论及建议</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（一）评价结论</w:t>
      </w:r>
    </w:p>
    <w:p>
      <w:pPr>
        <w:spacing w:line="360" w:lineRule="auto"/>
        <w:ind w:firstLine="640" w:firstLineChars="200"/>
        <w:rPr>
          <w:rFonts w:hint="eastAsia" w:ascii="仿宋" w:hAnsi="仿宋" w:eastAsia="仿宋" w:cs="仿宋_GB2312"/>
          <w:kern w:val="2"/>
          <w:sz w:val="32"/>
          <w:szCs w:val="32"/>
          <w:lang w:val="en-US" w:eastAsia="zh-CN" w:bidi="ar-SA"/>
        </w:rPr>
      </w:pPr>
      <w:r>
        <w:rPr>
          <w:rFonts w:hint="eastAsia" w:ascii="仿宋" w:hAnsi="仿宋" w:eastAsia="仿宋" w:cs="仿宋_GB2312"/>
          <w:kern w:val="2"/>
          <w:sz w:val="32"/>
          <w:szCs w:val="32"/>
          <w:lang w:val="en-US" w:eastAsia="zh-CN" w:bidi="ar-SA"/>
        </w:rPr>
        <w:t>按《部门整体支出绩效评价指标体系》标准，对学院2019年部门支出绩效自评评价得分96分。学院总体绩效目标明确、决策依据充分、资金分配科学合理，资金管理规范，任务完成良好，达到了预期效果。</w:t>
      </w:r>
    </w:p>
    <w:tbl>
      <w:tblPr>
        <w:tblStyle w:val="13"/>
        <w:tblW w:w="856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034"/>
        <w:gridCol w:w="2235"/>
        <w:gridCol w:w="2355"/>
        <w:gridCol w:w="293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1034" w:type="dxa"/>
            <w:noWrap w:val="0"/>
            <w:vAlign w:val="center"/>
          </w:tcPr>
          <w:p>
            <w:pPr>
              <w:keepNext w:val="0"/>
              <w:keepLines w:val="0"/>
              <w:widowControl/>
              <w:suppressLineNumbers w:val="0"/>
              <w:spacing w:line="360" w:lineRule="auto"/>
              <w:jc w:val="left"/>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附件</w:t>
            </w:r>
          </w:p>
        </w:tc>
        <w:tc>
          <w:tcPr>
            <w:tcW w:w="2235" w:type="dxa"/>
            <w:noWrap w:val="0"/>
            <w:vAlign w:val="center"/>
          </w:tcPr>
          <w:p>
            <w:pPr>
              <w:spacing w:line="360" w:lineRule="auto"/>
              <w:jc w:val="center"/>
              <w:rPr>
                <w:rFonts w:hint="eastAsia" w:ascii="宋体" w:hAnsi="宋体" w:eastAsia="宋体" w:cs="宋体"/>
                <w:i w:val="0"/>
                <w:color w:val="000000"/>
                <w:sz w:val="18"/>
                <w:szCs w:val="18"/>
                <w:u w:val="none"/>
              </w:rPr>
            </w:pPr>
          </w:p>
        </w:tc>
        <w:tc>
          <w:tcPr>
            <w:tcW w:w="2355" w:type="dxa"/>
            <w:noWrap w:val="0"/>
            <w:vAlign w:val="center"/>
          </w:tcPr>
          <w:p>
            <w:pPr>
              <w:spacing w:line="360" w:lineRule="auto"/>
              <w:rPr>
                <w:rFonts w:hint="eastAsia" w:ascii="宋体" w:hAnsi="宋体" w:eastAsia="宋体" w:cs="宋体"/>
                <w:i w:val="0"/>
                <w:color w:val="000000"/>
                <w:sz w:val="18"/>
                <w:szCs w:val="18"/>
                <w:u w:val="none"/>
              </w:rPr>
            </w:pPr>
          </w:p>
        </w:tc>
        <w:tc>
          <w:tcPr>
            <w:tcW w:w="2939" w:type="dxa"/>
            <w:noWrap w:val="0"/>
            <w:vAlign w:val="center"/>
          </w:tcPr>
          <w:p>
            <w:pPr>
              <w:spacing w:line="360" w:lineRule="auto"/>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8563" w:type="dxa"/>
            <w:gridSpan w:val="4"/>
            <w:noWrap w:val="0"/>
            <w:vAlign w:val="center"/>
          </w:tcPr>
          <w:p>
            <w:pPr>
              <w:keepNext w:val="0"/>
              <w:keepLines w:val="0"/>
              <w:widowControl/>
              <w:suppressLineNumbers w:val="0"/>
              <w:spacing w:line="360" w:lineRule="auto"/>
              <w:jc w:val="center"/>
              <w:textAlignment w:val="center"/>
              <w:rPr>
                <w:rFonts w:ascii="方正小标宋简体" w:hAnsi="方正小标宋简体" w:eastAsia="方正小标宋简体" w:cs="方正小标宋简体"/>
                <w:i w:val="0"/>
                <w:color w:val="000000"/>
                <w:sz w:val="36"/>
                <w:szCs w:val="36"/>
                <w:u w:val="none"/>
              </w:rPr>
            </w:pPr>
            <w:r>
              <w:rPr>
                <w:rFonts w:hint="default" w:ascii="方正小标宋简体" w:hAnsi="方正小标宋简体" w:eastAsia="方正小标宋简体" w:cs="方正小标宋简体"/>
                <w:i w:val="0"/>
                <w:color w:val="000000"/>
                <w:kern w:val="0"/>
                <w:sz w:val="36"/>
                <w:szCs w:val="36"/>
                <w:u w:val="none"/>
                <w:lang w:val="en-US" w:eastAsia="zh-CN" w:bidi="ar"/>
              </w:rPr>
              <w:t>部门整体支出绩效评价指标体系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1034" w:type="dxa"/>
            <w:noWrap w:val="0"/>
            <w:vAlign w:val="center"/>
          </w:tcPr>
          <w:p>
            <w:pPr>
              <w:spacing w:line="360" w:lineRule="auto"/>
              <w:jc w:val="center"/>
              <w:rPr>
                <w:rFonts w:hint="eastAsia" w:ascii="宋体" w:hAnsi="宋体" w:eastAsia="宋体" w:cs="宋体"/>
                <w:b/>
                <w:i w:val="0"/>
                <w:color w:val="000000"/>
                <w:sz w:val="18"/>
                <w:szCs w:val="18"/>
                <w:u w:val="none"/>
              </w:rPr>
            </w:pPr>
          </w:p>
        </w:tc>
        <w:tc>
          <w:tcPr>
            <w:tcW w:w="2235" w:type="dxa"/>
            <w:noWrap w:val="0"/>
            <w:vAlign w:val="center"/>
          </w:tcPr>
          <w:p>
            <w:pPr>
              <w:spacing w:line="360" w:lineRule="auto"/>
              <w:jc w:val="center"/>
              <w:rPr>
                <w:rFonts w:hint="eastAsia" w:ascii="宋体" w:hAnsi="宋体" w:eastAsia="宋体" w:cs="宋体"/>
                <w:b/>
                <w:i w:val="0"/>
                <w:color w:val="000000"/>
                <w:sz w:val="18"/>
                <w:szCs w:val="18"/>
                <w:u w:val="none"/>
              </w:rPr>
            </w:pPr>
          </w:p>
        </w:tc>
        <w:tc>
          <w:tcPr>
            <w:tcW w:w="2355" w:type="dxa"/>
            <w:noWrap w:val="0"/>
            <w:vAlign w:val="center"/>
          </w:tcPr>
          <w:p>
            <w:pPr>
              <w:spacing w:line="360" w:lineRule="auto"/>
              <w:jc w:val="center"/>
              <w:rPr>
                <w:rFonts w:hint="eastAsia" w:ascii="宋体" w:hAnsi="宋体" w:eastAsia="宋体" w:cs="宋体"/>
                <w:b/>
                <w:i w:val="0"/>
                <w:color w:val="000000"/>
                <w:sz w:val="18"/>
                <w:szCs w:val="18"/>
                <w:u w:val="none"/>
              </w:rPr>
            </w:pPr>
          </w:p>
        </w:tc>
        <w:tc>
          <w:tcPr>
            <w:tcW w:w="2939" w:type="dxa"/>
            <w:noWrap w:val="0"/>
            <w:vAlign w:val="center"/>
          </w:tcPr>
          <w:p>
            <w:pPr>
              <w:spacing w:line="360" w:lineRule="auto"/>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10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2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自评得分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103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预算编制</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w:t>
            </w:r>
            <w:r>
              <w:rPr>
                <w:rStyle w:val="34"/>
                <w:lang w:val="en-US" w:eastAsia="zh-CN" w:bidi="ar"/>
              </w:rPr>
              <w:t>0分）</w:t>
            </w:r>
          </w:p>
        </w:tc>
        <w:tc>
          <w:tcPr>
            <w:tcW w:w="2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报送时效（1分）</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基础信息更新（1分）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编制质量（2分）</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预算编制准确（1分）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部门预算审查（1分）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绩效目标（5分）</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部门整体绩效目标（2分）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left"/>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重点项目绩效目标（3分）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转移支付提前下达（1分）</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转移支付提前下达（1分）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专项转移支付分地区分项目编制（1分）</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专项转移支付分地区分项目编制（1分）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03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预算执行</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w:t>
            </w:r>
            <w:r>
              <w:rPr>
                <w:rStyle w:val="34"/>
                <w:lang w:val="en-US" w:eastAsia="zh-CN" w:bidi="ar"/>
              </w:rPr>
              <w:t>0分）</w:t>
            </w:r>
          </w:p>
        </w:tc>
        <w:tc>
          <w:tcPr>
            <w:tcW w:w="223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执行进度（10分）</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省级财力专项预算分配时限（4分）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中央专款分配合规率（3分）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0"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部门预算执行进度（3分）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预算调整（4分）</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执行中期评估（4分）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0"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行政成本（6分）</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节能降耗（3分）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left"/>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“三公”经费（3分）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03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综合管理（40分）</w:t>
            </w:r>
          </w:p>
        </w:tc>
        <w:tc>
          <w:tcPr>
            <w:tcW w:w="2235" w:type="dxa"/>
            <w:tcBorders>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债务管理（2分）</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债务还本付息（2分）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0"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非税收入执收情况（4分）</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非税收入征收情况（2分）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非税收入上缴情况（2分）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政府采购实施计划（4分）</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政府采购实施计划编制（2分）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政府采购实施计划执行（2分）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5"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资产管理（6分）</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资产管理信息系统建设情况（2分）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65"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left"/>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行政事业单位资产清查开展情况（2分）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05"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left"/>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行政事业单位资产报表上报情况（2分）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0"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tcBorders>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内控制度管理（2分）</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内部控制制度健全完整（2分）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信息公开（6分）</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预算公开（2分）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left"/>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决算公开（2分）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left"/>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绩效信息公开（2分）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绩效评价（10分）</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评价项目覆盖率（2分）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6"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left"/>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评价层次（2分）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6"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left"/>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评价结果报告（2分）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0"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left"/>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整改完成率（4分）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60"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依法接受财政监督（6分）</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是否按要求开展自查自纠（2分）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0"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left"/>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重点检查发现违规违纪问题（2分）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0"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left"/>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存在问题整改是否到位（2分）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03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整体效益（30分）</w:t>
            </w:r>
          </w:p>
        </w:tc>
        <w:tc>
          <w:tcPr>
            <w:tcW w:w="223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部门整体绩效（30分）</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部门职责履行结果（10分）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left"/>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重点项目绩效评价结果（10分）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80"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left"/>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服务对象满意度（10分）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1034" w:type="dxa"/>
            <w:noWrap w:val="0"/>
            <w:vAlign w:val="center"/>
          </w:tcPr>
          <w:p>
            <w:pPr>
              <w:spacing w:line="360" w:lineRule="auto"/>
              <w:rPr>
                <w:rFonts w:hint="eastAsia" w:ascii="宋体" w:hAnsi="宋体" w:eastAsia="宋体" w:cs="宋体"/>
                <w:i w:val="0"/>
                <w:color w:val="000000"/>
                <w:sz w:val="24"/>
                <w:szCs w:val="24"/>
                <w:u w:val="none"/>
              </w:rPr>
            </w:pPr>
          </w:p>
        </w:tc>
        <w:tc>
          <w:tcPr>
            <w:tcW w:w="2235" w:type="dxa"/>
            <w:noWrap w:val="0"/>
            <w:vAlign w:val="center"/>
          </w:tcPr>
          <w:p>
            <w:pPr>
              <w:spacing w:line="360" w:lineRule="auto"/>
              <w:rPr>
                <w:rFonts w:hint="eastAsia" w:ascii="宋体" w:hAnsi="宋体" w:eastAsia="宋体" w:cs="宋体"/>
                <w:i w:val="0"/>
                <w:color w:val="000000"/>
                <w:sz w:val="24"/>
                <w:szCs w:val="24"/>
                <w:u w:val="none"/>
              </w:rPr>
            </w:pPr>
          </w:p>
        </w:tc>
        <w:tc>
          <w:tcPr>
            <w:tcW w:w="2355" w:type="dxa"/>
            <w:noWrap w:val="0"/>
            <w:vAlign w:val="center"/>
          </w:tcPr>
          <w:p>
            <w:pPr>
              <w:spacing w:line="360" w:lineRule="auto"/>
              <w:rPr>
                <w:rFonts w:hint="eastAsia" w:ascii="宋体" w:hAnsi="宋体" w:eastAsia="宋体" w:cs="宋体"/>
                <w:i w:val="0"/>
                <w:color w:val="000000"/>
                <w:sz w:val="24"/>
                <w:szCs w:val="24"/>
                <w:u w:val="none"/>
              </w:rPr>
            </w:pPr>
          </w:p>
        </w:tc>
        <w:tc>
          <w:tcPr>
            <w:tcW w:w="2939" w:type="dxa"/>
            <w:noWrap w:val="0"/>
            <w:vAlign w:val="center"/>
          </w:tcPr>
          <w:p>
            <w:pPr>
              <w:spacing w:line="360" w:lineRule="auto"/>
              <w:rPr>
                <w:rFonts w:hint="eastAsia" w:ascii="宋体" w:hAnsi="宋体" w:eastAsia="宋体" w:cs="宋体"/>
                <w:i w:val="0"/>
                <w:color w:val="000000"/>
                <w:sz w:val="24"/>
                <w:szCs w:val="24"/>
                <w:u w:val="none"/>
              </w:rPr>
            </w:pPr>
          </w:p>
        </w:tc>
      </w:tr>
    </w:tbl>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（二）存在问题</w:t>
      </w:r>
    </w:p>
    <w:p>
      <w:pPr>
        <w:spacing w:line="360" w:lineRule="auto"/>
        <w:ind w:firstLine="640" w:firstLineChars="200"/>
        <w:rPr>
          <w:rFonts w:hint="eastAsia" w:ascii="仿宋" w:hAnsi="仿宋" w:eastAsia="仿宋" w:cs="仿宋_GB2312"/>
          <w:kern w:val="2"/>
          <w:sz w:val="32"/>
          <w:szCs w:val="32"/>
          <w:lang w:val="en-US" w:eastAsia="zh-CN" w:bidi="ar-SA"/>
        </w:rPr>
      </w:pPr>
      <w:r>
        <w:rPr>
          <w:rFonts w:hint="eastAsia" w:ascii="仿宋" w:hAnsi="仿宋" w:eastAsia="仿宋" w:cs="仿宋_GB2312"/>
          <w:kern w:val="2"/>
          <w:sz w:val="32"/>
          <w:szCs w:val="32"/>
          <w:lang w:val="en-US" w:eastAsia="zh-CN" w:bidi="ar-SA"/>
        </w:rPr>
        <w:t>预算编制不够科学合理，项目资金分配随意性较大，资金使用范围不明确，计划与实际支出脱节。</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（三）改进建议</w:t>
      </w:r>
    </w:p>
    <w:p>
      <w:pPr>
        <w:snapToGrid w:val="0"/>
        <w:spacing w:line="360" w:lineRule="auto"/>
        <w:ind w:firstLine="640" w:firstLineChars="200"/>
        <w:jc w:val="left"/>
        <w:rPr>
          <w:rFonts w:hint="eastAsia" w:ascii="仿宋_GB2312" w:hAnsi="宋体" w:eastAsia="仿宋_GB2312" w:cs="宋体"/>
          <w:kern w:val="0"/>
          <w:sz w:val="32"/>
          <w:szCs w:val="32"/>
          <w:lang w:val="en-US" w:eastAsia="zh-CN"/>
        </w:rPr>
      </w:pPr>
      <w:r>
        <w:rPr>
          <w:rFonts w:hint="eastAsia" w:ascii="仿宋" w:hAnsi="仿宋" w:eastAsia="仿宋" w:cs="仿宋_GB2312"/>
          <w:kern w:val="2"/>
          <w:sz w:val="32"/>
          <w:szCs w:val="32"/>
          <w:lang w:val="en-US" w:eastAsia="zh-CN" w:bidi="ar-SA"/>
        </w:rPr>
        <w:t>进一步学习《预算法》、《会计法》、《行政事业单位内控制度》（试行）等法律法规，严肃财经纪律，合理编制预算，依法使用财政资金，严格执行各项规章制度。编制项目支出预算，将绩效目标作为预算安排的重要依据，提高预算编制的科学性和准确性，提高资金使用绩效。坚持勤俭办学，建立健全厉行节约制度，杜绝奢华浪费现象。</w:t>
      </w:r>
    </w:p>
    <w:p>
      <w:pPr>
        <w:snapToGrid w:val="0"/>
        <w:spacing w:line="360" w:lineRule="auto"/>
        <w:ind w:firstLine="640" w:firstLineChars="200"/>
        <w:jc w:val="left"/>
        <w:rPr>
          <w:rFonts w:hint="eastAsia" w:ascii="仿宋_GB2312" w:hAnsi="宋体" w:eastAsia="仿宋_GB2312" w:cs="宋体"/>
          <w:kern w:val="0"/>
          <w:sz w:val="32"/>
          <w:szCs w:val="32"/>
          <w:lang w:val="en-US" w:eastAsia="zh-CN"/>
        </w:rPr>
      </w:pPr>
    </w:p>
    <w:p/>
    <w:p/>
    <w:p/>
    <w:bookmarkEnd w:id="65"/>
    <w:p>
      <w:pPr>
        <w:spacing w:line="600" w:lineRule="exact"/>
        <w:jc w:val="center"/>
        <w:outlineLvl w:val="0"/>
        <w:rPr>
          <w:rFonts w:hint="eastAsia" w:ascii="黑体" w:hAnsi="黑体" w:eastAsia="黑体"/>
          <w:color w:val="000000"/>
          <w:sz w:val="44"/>
          <w:szCs w:val="44"/>
        </w:rPr>
      </w:pPr>
      <w:bookmarkStart w:id="66" w:name="_Toc15396618"/>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7"/>
          <w:rFonts w:ascii="黑体" w:hAnsi="黑体" w:eastAsia="黑体"/>
          <w:b w:val="0"/>
        </w:rPr>
      </w:pPr>
      <w:r>
        <w:rPr>
          <w:rFonts w:hint="eastAsia" w:ascii="黑体" w:hAnsi="黑体" w:eastAsia="黑体"/>
          <w:color w:val="000000"/>
          <w:sz w:val="44"/>
          <w:szCs w:val="44"/>
        </w:rPr>
        <w:t>第</w:t>
      </w:r>
      <w:r>
        <w:rPr>
          <w:rStyle w:val="27"/>
          <w:rFonts w:hint="eastAsia" w:ascii="黑体" w:hAnsi="黑体" w:eastAsia="黑体"/>
          <w:b w:val="0"/>
        </w:rPr>
        <w:t>五部分 附表</w:t>
      </w:r>
      <w:bookmarkEnd w:id="61"/>
      <w:bookmarkEnd w:id="66"/>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67" w:name="_Toc15396619"/>
      <w:r>
        <w:rPr>
          <w:rFonts w:hint="eastAsia" w:ascii="仿宋" w:hAnsi="仿宋" w:eastAsia="仿宋"/>
          <w:b w:val="0"/>
          <w:color w:val="000000"/>
        </w:rPr>
        <w:t>一、收</w:t>
      </w:r>
      <w:r>
        <w:rPr>
          <w:rStyle w:val="28"/>
          <w:rFonts w:hint="eastAsia" w:ascii="仿宋" w:hAnsi="仿宋" w:eastAsia="仿宋"/>
          <w:b w:val="0"/>
          <w:bCs w:val="0"/>
        </w:rPr>
        <w:t>入支出决算总表</w:t>
      </w:r>
      <w:bookmarkEnd w:id="67"/>
    </w:p>
    <w:p>
      <w:pPr>
        <w:pStyle w:val="3"/>
        <w:rPr>
          <w:rFonts w:ascii="仿宋" w:hAnsi="仿宋" w:eastAsia="仿宋"/>
          <w:color w:val="000000"/>
        </w:rPr>
      </w:pPr>
      <w:bookmarkStart w:id="68" w:name="_Toc15396620"/>
      <w:r>
        <w:rPr>
          <w:rFonts w:hint="eastAsia" w:ascii="仿宋" w:hAnsi="仿宋" w:eastAsia="仿宋"/>
          <w:b w:val="0"/>
          <w:color w:val="000000"/>
        </w:rPr>
        <w:t>二、收</w:t>
      </w:r>
      <w:r>
        <w:rPr>
          <w:rStyle w:val="28"/>
          <w:rFonts w:hint="eastAsia" w:ascii="仿宋" w:hAnsi="仿宋" w:eastAsia="仿宋"/>
          <w:b w:val="0"/>
          <w:bCs w:val="0"/>
        </w:rPr>
        <w:t>入总表</w:t>
      </w:r>
      <w:bookmarkEnd w:id="68"/>
    </w:p>
    <w:p>
      <w:pPr>
        <w:pStyle w:val="3"/>
        <w:rPr>
          <w:rFonts w:ascii="仿宋" w:hAnsi="仿宋" w:eastAsia="仿宋"/>
          <w:color w:val="000000"/>
        </w:rPr>
      </w:pPr>
      <w:bookmarkStart w:id="69" w:name="_Toc15396621"/>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出总表</w:t>
      </w:r>
      <w:bookmarkEnd w:id="69"/>
    </w:p>
    <w:p>
      <w:pPr>
        <w:pStyle w:val="3"/>
        <w:rPr>
          <w:rFonts w:ascii="仿宋" w:hAnsi="仿宋" w:eastAsia="仿宋"/>
          <w:b w:val="0"/>
          <w:color w:val="000000"/>
        </w:rPr>
      </w:pPr>
      <w:bookmarkStart w:id="70" w:name="_Toc15396622"/>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70"/>
    </w:p>
    <w:p>
      <w:pPr>
        <w:pStyle w:val="3"/>
        <w:rPr>
          <w:rFonts w:ascii="仿宋" w:hAnsi="仿宋" w:eastAsia="仿宋"/>
          <w:color w:val="000000"/>
        </w:rPr>
      </w:pPr>
      <w:bookmarkStart w:id="71" w:name="_Toc15396623"/>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政拨款支出决算明细表（政府经济分类科目）</w:t>
      </w:r>
      <w:bookmarkEnd w:id="71"/>
    </w:p>
    <w:p>
      <w:pPr>
        <w:pStyle w:val="3"/>
        <w:rPr>
          <w:rFonts w:ascii="仿宋" w:hAnsi="仿宋" w:eastAsia="仿宋"/>
          <w:color w:val="000000"/>
        </w:rPr>
      </w:pPr>
      <w:bookmarkStart w:id="72" w:name="_Toc15396624"/>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72"/>
    </w:p>
    <w:p>
      <w:pPr>
        <w:pStyle w:val="3"/>
        <w:rPr>
          <w:rFonts w:ascii="仿宋" w:hAnsi="仿宋" w:eastAsia="仿宋"/>
          <w:color w:val="000000"/>
        </w:rPr>
      </w:pPr>
      <w:bookmarkStart w:id="73" w:name="_Toc15396625"/>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73"/>
    </w:p>
    <w:p>
      <w:pPr>
        <w:pStyle w:val="3"/>
        <w:rPr>
          <w:rFonts w:ascii="仿宋" w:hAnsi="仿宋" w:eastAsia="仿宋"/>
          <w:color w:val="000000"/>
        </w:rPr>
      </w:pPr>
      <w:bookmarkStart w:id="74" w:name="_Toc15396626"/>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74"/>
    </w:p>
    <w:p>
      <w:pPr>
        <w:pStyle w:val="3"/>
        <w:rPr>
          <w:rFonts w:ascii="仿宋" w:hAnsi="仿宋" w:eastAsia="仿宋"/>
          <w:color w:val="000000"/>
        </w:rPr>
      </w:pPr>
      <w:bookmarkStart w:id="75" w:name="_Toc15396627"/>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75"/>
    </w:p>
    <w:p>
      <w:pPr>
        <w:pStyle w:val="3"/>
        <w:rPr>
          <w:rFonts w:ascii="仿宋" w:hAnsi="仿宋" w:eastAsia="仿宋"/>
          <w:color w:val="000000"/>
        </w:rPr>
      </w:pPr>
      <w:bookmarkStart w:id="76" w:name="_Toc15396628"/>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76"/>
    </w:p>
    <w:p>
      <w:pPr>
        <w:pStyle w:val="3"/>
        <w:rPr>
          <w:rFonts w:ascii="仿宋" w:hAnsi="仿宋" w:eastAsia="仿宋"/>
          <w:color w:val="000000"/>
        </w:rPr>
      </w:pPr>
      <w:bookmarkStart w:id="77" w:name="_Toc15396629"/>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77"/>
    </w:p>
    <w:p>
      <w:pPr>
        <w:pStyle w:val="3"/>
        <w:rPr>
          <w:rFonts w:ascii="仿宋" w:hAnsi="仿宋" w:eastAsia="仿宋"/>
          <w:color w:val="000000"/>
        </w:rPr>
      </w:pPr>
      <w:bookmarkStart w:id="78" w:name="_Toc15396630"/>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78"/>
    </w:p>
    <w:p>
      <w:pPr>
        <w:pStyle w:val="3"/>
        <w:rPr>
          <w:rFonts w:ascii="仿宋" w:hAnsi="仿宋" w:eastAsia="仿宋"/>
          <w:color w:val="000000" w:themeColor="text1"/>
          <w14:textFill>
            <w14:solidFill>
              <w14:schemeClr w14:val="tx1"/>
            </w14:solidFill>
          </w14:textFill>
        </w:rPr>
      </w:pPr>
      <w:bookmarkStart w:id="79" w:name="_Toc15396631"/>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有资本经营预算支出决算表</w:t>
      </w:r>
      <w:bookmarkEnd w:id="79"/>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8"/>
          <w:jc w:val="center"/>
        </w:pPr>
        <w:r>
          <w:fldChar w:fldCharType="begin"/>
        </w:r>
        <w:r>
          <w:instrText xml:space="preserve">PAGE   \* MERGEFORMAT</w:instrText>
        </w:r>
        <w:r>
          <w:fldChar w:fldCharType="separate"/>
        </w:r>
        <w:r>
          <w:rPr>
            <w:lang w:val="zh-CN"/>
          </w:rPr>
          <w:t>7</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3">
    <w:nsid w:val="0A0BBB52"/>
    <w:multiLevelType w:val="singleLevel"/>
    <w:tmpl w:val="0A0BBB52"/>
    <w:lvl w:ilvl="0" w:tentative="0">
      <w:start w:val="2"/>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6">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6"/>
  </w:num>
  <w:num w:numId="2">
    <w:abstractNumId w:val="4"/>
  </w:num>
  <w:num w:numId="3">
    <w:abstractNumId w:val="0"/>
  </w:num>
  <w:num w:numId="4">
    <w:abstractNumId w:val="5"/>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97577"/>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6F0480"/>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900"/>
    <w:rsid w:val="00885AF4"/>
    <w:rsid w:val="008939CD"/>
    <w:rsid w:val="00894A6B"/>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5926"/>
    <w:rsid w:val="00A56DF2"/>
    <w:rsid w:val="00A67AB5"/>
    <w:rsid w:val="00A91760"/>
    <w:rsid w:val="00A92BAD"/>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A6B33"/>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43D"/>
    <w:rsid w:val="00EF4C34"/>
    <w:rsid w:val="00EF77C6"/>
    <w:rsid w:val="00F05438"/>
    <w:rsid w:val="00F1361C"/>
    <w:rsid w:val="00F160C7"/>
    <w:rsid w:val="00F36D8F"/>
    <w:rsid w:val="00F417B1"/>
    <w:rsid w:val="00F602DF"/>
    <w:rsid w:val="00F81FD9"/>
    <w:rsid w:val="00F841AA"/>
    <w:rsid w:val="00FA23E8"/>
    <w:rsid w:val="00FA5929"/>
    <w:rsid w:val="00FD3CC1"/>
    <w:rsid w:val="00FF1E02"/>
    <w:rsid w:val="00FF30B4"/>
    <w:rsid w:val="02C6521E"/>
    <w:rsid w:val="03D33205"/>
    <w:rsid w:val="04084B8F"/>
    <w:rsid w:val="042C4381"/>
    <w:rsid w:val="04654A48"/>
    <w:rsid w:val="049B68A0"/>
    <w:rsid w:val="06E15D4E"/>
    <w:rsid w:val="08D21D25"/>
    <w:rsid w:val="0963316F"/>
    <w:rsid w:val="09D33DD7"/>
    <w:rsid w:val="0B1202C5"/>
    <w:rsid w:val="0BFF7447"/>
    <w:rsid w:val="0CE84BAA"/>
    <w:rsid w:val="0E8B18CE"/>
    <w:rsid w:val="0EA75AAE"/>
    <w:rsid w:val="0F630C82"/>
    <w:rsid w:val="0FF447EE"/>
    <w:rsid w:val="100C7206"/>
    <w:rsid w:val="104B2EAC"/>
    <w:rsid w:val="10557167"/>
    <w:rsid w:val="109F1D5E"/>
    <w:rsid w:val="10C055FF"/>
    <w:rsid w:val="12926B63"/>
    <w:rsid w:val="169E5AB7"/>
    <w:rsid w:val="16BB723D"/>
    <w:rsid w:val="175D253C"/>
    <w:rsid w:val="176A07BA"/>
    <w:rsid w:val="1B7305D6"/>
    <w:rsid w:val="1BF76E63"/>
    <w:rsid w:val="1C084296"/>
    <w:rsid w:val="1E641B48"/>
    <w:rsid w:val="1F321610"/>
    <w:rsid w:val="1F950F0D"/>
    <w:rsid w:val="234809B3"/>
    <w:rsid w:val="240371BF"/>
    <w:rsid w:val="24F97BE1"/>
    <w:rsid w:val="25FC6B9A"/>
    <w:rsid w:val="27CE4F6A"/>
    <w:rsid w:val="29FD04D3"/>
    <w:rsid w:val="2A9D1882"/>
    <w:rsid w:val="2B1D741C"/>
    <w:rsid w:val="2B3B6C3A"/>
    <w:rsid w:val="2B614F60"/>
    <w:rsid w:val="2B6D00B4"/>
    <w:rsid w:val="2BB04259"/>
    <w:rsid w:val="2BC6456C"/>
    <w:rsid w:val="2C3F7577"/>
    <w:rsid w:val="2EC53F12"/>
    <w:rsid w:val="302F29C5"/>
    <w:rsid w:val="314869FE"/>
    <w:rsid w:val="3166570C"/>
    <w:rsid w:val="319F7F4E"/>
    <w:rsid w:val="327F05C8"/>
    <w:rsid w:val="32EA2468"/>
    <w:rsid w:val="330E4141"/>
    <w:rsid w:val="34487114"/>
    <w:rsid w:val="35064279"/>
    <w:rsid w:val="35A32B0D"/>
    <w:rsid w:val="35D14C53"/>
    <w:rsid w:val="360B0C7B"/>
    <w:rsid w:val="366566DD"/>
    <w:rsid w:val="37FD211C"/>
    <w:rsid w:val="39783398"/>
    <w:rsid w:val="3AB32EBB"/>
    <w:rsid w:val="3C6F0707"/>
    <w:rsid w:val="3D197119"/>
    <w:rsid w:val="3F174875"/>
    <w:rsid w:val="40540DC7"/>
    <w:rsid w:val="410F3CEE"/>
    <w:rsid w:val="42435816"/>
    <w:rsid w:val="428151FF"/>
    <w:rsid w:val="468B0C68"/>
    <w:rsid w:val="474072B8"/>
    <w:rsid w:val="47DE0C80"/>
    <w:rsid w:val="48A311A2"/>
    <w:rsid w:val="4AC72E89"/>
    <w:rsid w:val="4C794786"/>
    <w:rsid w:val="4DD664A9"/>
    <w:rsid w:val="4DF249F3"/>
    <w:rsid w:val="4FCE73B0"/>
    <w:rsid w:val="53DC208D"/>
    <w:rsid w:val="5818210C"/>
    <w:rsid w:val="58D36617"/>
    <w:rsid w:val="5B3163C6"/>
    <w:rsid w:val="5EEC0B59"/>
    <w:rsid w:val="5F7673A0"/>
    <w:rsid w:val="5FB1656A"/>
    <w:rsid w:val="611E5586"/>
    <w:rsid w:val="64251622"/>
    <w:rsid w:val="65CE1228"/>
    <w:rsid w:val="67E545C6"/>
    <w:rsid w:val="68F10F01"/>
    <w:rsid w:val="69F61AC4"/>
    <w:rsid w:val="6AA003CE"/>
    <w:rsid w:val="6CCB6E37"/>
    <w:rsid w:val="6CE95D5F"/>
    <w:rsid w:val="6E7C4DBB"/>
    <w:rsid w:val="70F54ACE"/>
    <w:rsid w:val="719C1A87"/>
    <w:rsid w:val="734021C8"/>
    <w:rsid w:val="739216A0"/>
    <w:rsid w:val="77CC28BE"/>
    <w:rsid w:val="78105144"/>
    <w:rsid w:val="7BA403F9"/>
    <w:rsid w:val="7D32757F"/>
    <w:rsid w:val="7DF12DF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4"/>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30"/>
    <w:semiHidden/>
    <w:unhideWhenUsed/>
    <w:qFormat/>
    <w:uiPriority w:val="99"/>
    <w:rPr>
      <w:sz w:val="18"/>
      <w:szCs w:val="18"/>
    </w:rPr>
  </w:style>
  <w:style w:type="paragraph" w:styleId="8">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99"/>
    <w:rPr>
      <w:rFonts w:ascii="Times New Roman" w:hAnsi="Times New Roman" w:cs="Times New Roman"/>
      <w:sz w:val="24"/>
    </w:rPr>
  </w:style>
  <w:style w:type="character" w:styleId="15">
    <w:name w:val="Strong"/>
    <w:basedOn w:val="14"/>
    <w:qFormat/>
    <w:uiPriority w:val="99"/>
    <w:rPr>
      <w:b/>
    </w:rPr>
  </w:style>
  <w:style w:type="character" w:styleId="16">
    <w:name w:val="FollowedHyperlink"/>
    <w:basedOn w:val="14"/>
    <w:semiHidden/>
    <w:unhideWhenUsed/>
    <w:qFormat/>
    <w:uiPriority w:val="99"/>
    <w:rPr>
      <w:color w:val="383838"/>
      <w:u w:val="none"/>
    </w:rPr>
  </w:style>
  <w:style w:type="character" w:styleId="17">
    <w:name w:val="Emphasis"/>
    <w:basedOn w:val="14"/>
    <w:qFormat/>
    <w:uiPriority w:val="20"/>
  </w:style>
  <w:style w:type="character" w:styleId="18">
    <w:name w:val="Hyperlink"/>
    <w:basedOn w:val="14"/>
    <w:unhideWhenUsed/>
    <w:qFormat/>
    <w:uiPriority w:val="99"/>
    <w:rPr>
      <w:color w:val="0000FF" w:themeColor="hyperlink"/>
      <w:u w:val="single"/>
      <w14:textFill>
        <w14:solidFill>
          <w14:schemeClr w14:val="hlink"/>
        </w14:solidFill>
      </w14:textFill>
    </w:rPr>
  </w:style>
  <w:style w:type="character" w:customStyle="1" w:styleId="19">
    <w:name w:val="Header Char"/>
    <w:basedOn w:val="14"/>
    <w:semiHidden/>
    <w:qFormat/>
    <w:uiPriority w:val="99"/>
    <w:rPr>
      <w:rFonts w:ascii="Times New Roman" w:hAnsi="Times New Roman"/>
      <w:sz w:val="18"/>
      <w:szCs w:val="18"/>
    </w:rPr>
  </w:style>
  <w:style w:type="character" w:customStyle="1" w:styleId="20">
    <w:name w:val="页眉 Char"/>
    <w:link w:val="9"/>
    <w:semiHidden/>
    <w:qFormat/>
    <w:locked/>
    <w:uiPriority w:val="99"/>
    <w:rPr>
      <w:sz w:val="18"/>
    </w:rPr>
  </w:style>
  <w:style w:type="character" w:customStyle="1" w:styleId="21">
    <w:name w:val="Footer Char"/>
    <w:basedOn w:val="14"/>
    <w:semiHidden/>
    <w:qFormat/>
    <w:uiPriority w:val="99"/>
    <w:rPr>
      <w:rFonts w:ascii="Times New Roman" w:hAnsi="Times New Roman"/>
      <w:sz w:val="18"/>
      <w:szCs w:val="18"/>
    </w:rPr>
  </w:style>
  <w:style w:type="character" w:customStyle="1" w:styleId="22">
    <w:name w:val="页脚 Char"/>
    <w:link w:val="8"/>
    <w:qFormat/>
    <w:locked/>
    <w:uiPriority w:val="99"/>
    <w:rPr>
      <w:sz w:val="18"/>
    </w:rPr>
  </w:style>
  <w:style w:type="character" w:customStyle="1" w:styleId="23">
    <w:name w:val="Body Text Char"/>
    <w:basedOn w:val="14"/>
    <w:semiHidden/>
    <w:qFormat/>
    <w:uiPriority w:val="99"/>
    <w:rPr>
      <w:rFonts w:ascii="Times New Roman" w:hAnsi="Times New Roman"/>
      <w:szCs w:val="24"/>
    </w:rPr>
  </w:style>
  <w:style w:type="character" w:customStyle="1" w:styleId="24">
    <w:name w:val="正文文本 Char"/>
    <w:link w:val="5"/>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Char"/>
    <w:basedOn w:val="14"/>
    <w:link w:val="2"/>
    <w:qFormat/>
    <w:uiPriority w:val="9"/>
    <w:rPr>
      <w:rFonts w:ascii="Times New Roman" w:hAnsi="Times New Roman"/>
      <w:b/>
      <w:bCs/>
      <w:kern w:val="44"/>
      <w:sz w:val="44"/>
      <w:szCs w:val="44"/>
    </w:rPr>
  </w:style>
  <w:style w:type="character" w:customStyle="1" w:styleId="28">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29">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Char"/>
    <w:basedOn w:val="14"/>
    <w:link w:val="7"/>
    <w:semiHidden/>
    <w:qFormat/>
    <w:uiPriority w:val="99"/>
    <w:rPr>
      <w:rFonts w:ascii="Times New Roman" w:hAnsi="Times New Roman"/>
      <w:kern w:val="2"/>
      <w:sz w:val="18"/>
      <w:szCs w:val="18"/>
    </w:rPr>
  </w:style>
  <w:style w:type="character" w:customStyle="1" w:styleId="31">
    <w:name w:val="标题 3 Char"/>
    <w:basedOn w:val="14"/>
    <w:link w:val="4"/>
    <w:qFormat/>
    <w:uiPriority w:val="9"/>
    <w:rPr>
      <w:rFonts w:ascii="Times New Roman" w:hAnsi="Times New Roman"/>
      <w:b/>
      <w:bCs/>
      <w:kern w:val="2"/>
      <w:sz w:val="32"/>
      <w:szCs w:val="32"/>
    </w:rPr>
  </w:style>
  <w:style w:type="paragraph" w:customStyle="1" w:styleId="32">
    <w:name w:val="〖C01〗正文"/>
    <w:basedOn w:val="1"/>
    <w:qFormat/>
    <w:uiPriority w:val="0"/>
    <w:pPr>
      <w:topLinePunct/>
      <w:spacing w:line="600" w:lineRule="exact"/>
      <w:ind w:firstLine="640" w:firstLineChars="200"/>
    </w:pPr>
    <w:rPr>
      <w:rFonts w:ascii="仿宋_GB2312" w:hAnsi="Calibri" w:eastAsia="仿宋_GB2312"/>
      <w:sz w:val="32"/>
      <w:szCs w:val="32"/>
    </w:rPr>
  </w:style>
  <w:style w:type="character" w:customStyle="1" w:styleId="33">
    <w:name w:val="select"/>
    <w:basedOn w:val="14"/>
    <w:qFormat/>
    <w:uiPriority w:val="0"/>
    <w:rPr>
      <w:color w:val="2D2E2E"/>
    </w:rPr>
  </w:style>
  <w:style w:type="character" w:customStyle="1" w:styleId="34">
    <w:name w:val="font21"/>
    <w:basedOn w:val="14"/>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62C6D0-519F-404C-8D2C-1DD05C907B1F}">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Pages>
  <Words>1441</Words>
  <Characters>8219</Characters>
  <Lines>68</Lines>
  <Paragraphs>19</Paragraphs>
  <TotalTime>6</TotalTime>
  <ScaleCrop>false</ScaleCrop>
  <LinksUpToDate>false</LinksUpToDate>
  <CharactersWithSpaces>9641</CharactersWithSpaces>
  <Application>WPS Office_11.1.0.10069_F1E327BC-269C-435d-A152-05C5408002CA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章章</cp:lastModifiedBy>
  <cp:lastPrinted>2020-09-22T01:50:00Z</cp:lastPrinted>
  <dcterms:modified xsi:type="dcterms:W3CDTF">2020-09-24T06:37:44Z</dcterms:modified>
  <dc:title>四川省***</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